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1171D">
      <w:pPr>
        <w:autoSpaceDE w:val="0"/>
        <w:autoSpaceDN w:val="0"/>
        <w:adjustRightInd w:val="0"/>
        <w:jc w:val="center"/>
        <w:rPr>
          <w:rFonts w:ascii="AppleSystemUIFontBold" w:hAnsi="AppleSystemUIFontBold" w:cs="AppleSystemUIFontBold"/>
          <w:b/>
          <w:bCs/>
          <w:kern w:val="0"/>
          <w:sz w:val="44"/>
          <w:szCs w:val="44"/>
        </w:rPr>
      </w:pPr>
    </w:p>
    <w:p w14:paraId="0DF3378E">
      <w:pPr>
        <w:pStyle w:val="11"/>
      </w:pPr>
      <w:r>
        <w:rPr>
          <w:rFonts w:hint="eastAsia" w:hAnsi="Times New Roman" w:cs="Times New Roman"/>
        </w:rPr>
        <w:br w:type="page"/>
      </w:r>
      <w:r>
        <w:rPr>
          <w:rFonts w:hint="eastAsia"/>
        </w:rPr>
        <w:t>浙江省团体标准</w:t>
      </w:r>
    </w:p>
    <w:p w14:paraId="049EFED4">
      <w:pPr>
        <w:pStyle w:val="12"/>
        <w:rPr>
          <w:rFonts w:hint="eastAsia" w:hAnsi="黑体" w:eastAsia="黑体"/>
          <w:lang w:eastAsia="zh-CN"/>
        </w:rPr>
      </w:pPr>
      <w:r>
        <w:rPr>
          <w:rFonts w:hint="default" w:ascii="Times New Roman Regular" w:hAnsi="Times New Roman Regular" w:eastAsia="黑体" w:cs="Times New Roman Regular"/>
          <w:sz w:val="28"/>
          <w:szCs w:val="28"/>
          <w:lang w:val="en-US" w:eastAsia="zh-CN" w:bidi="ar-SA"/>
        </w:rPr>
        <w:t>T/ZJWL</w:t>
      </w:r>
      <w:r>
        <w:rPr>
          <w:rFonts w:hAnsi="黑体"/>
        </w:rPr>
        <w:t xml:space="preserve"> </w:t>
      </w:r>
      <w:r>
        <w:rPr>
          <w:rFonts w:hint="eastAsia" w:hAnsi="黑体"/>
          <w:lang w:val="en-US" w:eastAsia="zh-CN"/>
        </w:rPr>
        <w:t xml:space="preserve"> XXX</w:t>
      </w:r>
      <w:bookmarkStart w:id="127" w:name="_GoBack"/>
      <w:bookmarkEnd w:id="127"/>
      <w:r>
        <w:rPr>
          <w:rFonts w:hAnsi="黑体"/>
        </w:rPr>
        <w:t>—</w:t>
      </w:r>
      <w:r>
        <w:rPr>
          <w:rFonts w:hint="eastAsia" w:hAnsi="黑体"/>
          <w:lang w:eastAsia="zh-CN"/>
        </w:rPr>
        <w:t>2024</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4861EC86">
        <w:tc>
          <w:tcPr>
            <w:tcW w:w="9356" w:type="dxa"/>
            <w:tcBorders>
              <w:top w:val="nil"/>
              <w:left w:val="nil"/>
              <w:bottom w:val="nil"/>
              <w:right w:val="nil"/>
            </w:tcBorders>
            <w:noWrap w:val="0"/>
            <w:vAlign w:val="top"/>
          </w:tcPr>
          <w:p w14:paraId="37DD761A">
            <w:pPr>
              <w:pStyle w:val="13"/>
            </w:pPr>
            <w:bookmarkStart w:id="0" w:name="DT"/>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3" name="矩形 13"/>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txbx>
                              <w:txbxContent>
                                <w:p w14:paraId="1100EBCA"/>
                              </w:txbxContent>
                            </wps:txbx>
                            <wps:bodyPr wrap="square" anchor="t" anchorCtr="0" upright="1"/>
                          </wps:wsp>
                        </a:graphicData>
                      </a:graphic>
                    </wp:anchor>
                  </w:drawing>
                </mc:Choice>
                <mc:Fallback>
                  <w:pict>
                    <v:rect id="_x0000_s1026"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eYPLL1gAAAAgBAAAPAAAAAAAAAAEAIAAAACIAAABk&#10;cnMvZG93bnJldi54bWxQSwECFAAUAAAACACHTuJAQGtCA88BAAChAwAADgAAAAAAAAABACAAAAAl&#10;AQAAZHJzL2Uyb0RvYy54bWxQSwUGAAAAAAYABgBZAQAAZgUAAAAA&#10;">
                      <v:fill on="t" focussize="0,0"/>
                      <v:stroke on="f"/>
                      <v:imagedata o:title=""/>
                      <o:lock v:ext="edit" aspectratio="f"/>
                      <v:textbox>
                        <w:txbxContent>
                          <w:p w14:paraId="1100EBCA"/>
                        </w:txbxContent>
                      </v:textbox>
                    </v:rect>
                  </w:pict>
                </mc:Fallback>
              </mc:AlternateContent>
            </w:r>
            <w:bookmarkEnd w:id="0"/>
          </w:p>
        </w:tc>
      </w:tr>
    </w:tbl>
    <w:p w14:paraId="2C745ADC">
      <w:pPr>
        <w:pStyle w:val="12"/>
        <w:rPr>
          <w:rFonts w:hAnsi="黑体"/>
        </w:rPr>
      </w:pPr>
    </w:p>
    <w:p w14:paraId="72E953DF">
      <w:pPr>
        <w:pStyle w:val="12"/>
        <w:rPr>
          <w:rFonts w:hAnsi="黑体"/>
        </w:rPr>
      </w:pPr>
    </w:p>
    <w:p w14:paraId="6271C5B1">
      <w:pPr>
        <w:pStyle w:val="14"/>
        <w:framePr w:x="1421" w:y="5961"/>
      </w:pPr>
      <w:r>
        <w:rPr>
          <w:rFonts w:hint="eastAsia"/>
        </w:rPr>
        <w:t>供应链系统解决方案客户满意度测评规范</w:t>
      </w:r>
    </w:p>
    <w:p w14:paraId="644C87B7">
      <w:pPr>
        <w:pStyle w:val="15"/>
        <w:framePr w:x="1421" w:y="5961"/>
        <w:rPr>
          <w:rFonts w:hint="eastAsia"/>
        </w:rPr>
      </w:pPr>
      <w:bookmarkStart w:id="1" w:name="YZBS"/>
      <w:r>
        <w:rPr>
          <w:rFonts w:hint="eastAsia"/>
          <w:lang w:val="en-US" w:eastAsia="zh-CN"/>
        </w:rPr>
        <w:t xml:space="preserve">Specification for Customer Satisfaction Evaluation of </w:t>
      </w:r>
      <w:r>
        <w:rPr>
          <w:rFonts w:hint="eastAsia"/>
        </w:rPr>
        <w:t xml:space="preserve">Supply Chain System Solutions </w:t>
      </w:r>
    </w:p>
    <w:bookmarkEnd w:id="1"/>
    <w:p w14:paraId="05D1A75A">
      <w:pPr>
        <w:pStyle w:val="16"/>
        <w:framePr w:x="1421" w:y="5961"/>
        <w:spacing w:before="180" w:line="240" w:lineRule="atLeast"/>
        <w:textAlignment w:val="bottom"/>
        <w:rPr>
          <w:rFonts w:hint="eastAsia"/>
          <w:color w:val="0C0C0C"/>
          <w:sz w:val="24"/>
          <w:szCs w:val="24"/>
        </w:rPr>
      </w:pPr>
    </w:p>
    <w:p w14:paraId="1180229D">
      <w:pPr>
        <w:pStyle w:val="15"/>
        <w:framePr w:x="1421" w:y="5961"/>
      </w:pPr>
    </w:p>
    <w:p w14:paraId="058CFD2A">
      <w:pPr>
        <w:pStyle w:val="17"/>
        <w:framePr w:vAnchor="text" w:hAnchor="page" w:x="1516" w:y="13953"/>
      </w:pPr>
      <w:r>
        <w:rPr>
          <w:rFonts w:hint="eastAsia"/>
          <w:lang w:eastAsia="zh-CN"/>
        </w:rPr>
        <w:t>2024-</w:t>
      </w:r>
      <w:r>
        <w:rPr>
          <w:rFonts w:hint="eastAsia"/>
          <w:lang w:val="en-US" w:eastAsia="zh-CN"/>
        </w:rPr>
        <w:t>XX</w:t>
      </w:r>
      <w:r>
        <w:rPr>
          <w:rFonts w:hint="eastAsia"/>
          <w:lang w:eastAsia="zh-CN"/>
        </w:rPr>
        <w:t>-</w:t>
      </w:r>
      <w:r>
        <w:rPr>
          <w:rFonts w:hint="eastAsia"/>
          <w:lang w:val="en-US" w:eastAsia="zh-CN"/>
        </w:rPr>
        <w:t>XX</w:t>
      </w:r>
      <w:r>
        <w:rPr>
          <w:rFonts w:hint="eastAsia"/>
        </w:rPr>
        <w:t>发布</w:t>
      </w:r>
      <w: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9251950</wp:posOffset>
                </wp:positionV>
                <wp:extent cx="6120130" cy="0"/>
                <wp:effectExtent l="0" t="6350" r="0" b="6350"/>
                <wp:wrapNone/>
                <wp:docPr id="7" name="直接连接符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YdrPNYAAAALAQAADwAAAAAAAAABACAAAAAiAAAAZHJzL2Rvd25yZXYueG1sUEsBAhQAFAAA&#10;AAgAh07iQHbHBCPxAQAA5gMAAA4AAAAAAAAAAQAgAAAAJQEAAGRycy9lMm9Eb2MueG1sUEsFBgAA&#10;AAAGAAYAWQEAAIgFAAAAAA==&#10;">
                <v:fill on="f" focussize="0,0"/>
                <v:stroke color="#000000" joinstyle="round"/>
                <v:imagedata o:title=""/>
                <o:lock v:ext="edit" aspectratio="f"/>
                <w10:anchorlock/>
              </v:line>
            </w:pict>
          </mc:Fallback>
        </mc:AlternateContent>
      </w:r>
    </w:p>
    <w:p w14:paraId="06D11E93">
      <w:pPr>
        <w:pStyle w:val="19"/>
        <w:framePr w:vAnchor="text" w:hAnchor="page" w:x="7990" w:y="13999"/>
      </w:pPr>
      <w:r>
        <w:rPr>
          <w:rFonts w:hint="eastAsia"/>
          <w:lang w:eastAsia="zh-CN"/>
        </w:rPr>
        <w:t>2024-</w:t>
      </w:r>
      <w:r>
        <w:rPr>
          <w:rFonts w:hint="eastAsia"/>
          <w:lang w:val="en-US" w:eastAsia="zh-CN"/>
        </w:rPr>
        <w:t>XX</w:t>
      </w:r>
      <w:r>
        <w:rPr>
          <w:rFonts w:hint="eastAsia"/>
          <w:lang w:eastAsia="zh-CN"/>
        </w:rPr>
        <w:t>-</w:t>
      </w:r>
      <w:r>
        <w:rPr>
          <w:rFonts w:hint="eastAsia"/>
          <w:lang w:val="en-US" w:eastAsia="zh-CN"/>
        </w:rPr>
        <w:t xml:space="preserve">XX  </w:t>
      </w:r>
      <w:r>
        <w:rPr>
          <w:rFonts w:hint="eastAsia"/>
        </w:rPr>
        <w:t>实施</w:t>
      </w:r>
    </w:p>
    <w:p w14:paraId="79AC4BFD">
      <w:pPr>
        <w:pStyle w:val="21"/>
        <w:framePr w:h="634" w:hRule="exact" w:vAnchor="page" w:hAnchor="page" w:x="2336" w:y="13846"/>
        <w:rPr>
          <w:b w:val="0"/>
          <w:bCs/>
        </w:rPr>
      </w:pPr>
      <w:r>
        <w:rPr>
          <w:rFonts w:hint="eastAsia"/>
          <w:b w:val="0"/>
          <w:bCs/>
        </w:rPr>
        <w:t>浙江省物流协会</w:t>
      </w:r>
      <w:r>
        <w:rPr>
          <w:rFonts w:hint="eastAsia" w:ascii="MS Mincho" w:hAnsi="MS Mincho" w:eastAsia="MS Mincho" w:cs="MS Mincho"/>
          <w:b w:val="0"/>
          <w:bCs/>
        </w:rPr>
        <w:t>   </w:t>
      </w:r>
      <w:r>
        <w:rPr>
          <w:rStyle w:val="24"/>
          <w:rFonts w:hint="default" w:ascii="Times New Roman Regular" w:hAnsi="Times New Roman Regular" w:cs="Times New Roman Regular"/>
          <w:b w:val="0"/>
          <w:lang w:val="en-US" w:eastAsia="zh-CN" w:bidi="ar-SA"/>
        </w:rPr>
        <w:t>发布</w:t>
      </w:r>
    </w:p>
    <w:p w14:paraId="2EE81F13">
      <w:pPr>
        <w:pStyle w:val="23"/>
        <w:sectPr>
          <w:footerReference r:id="rId6" w:type="first"/>
          <w:headerReference r:id="rId3" w:type="default"/>
          <w:footerReference r:id="rId4" w:type="default"/>
          <w:footerReference r:id="rId5" w:type="even"/>
          <w:pgSz w:w="11906" w:h="16838"/>
          <w:pgMar w:top="567" w:right="850" w:bottom="1134" w:left="1418" w:header="0" w:footer="0" w:gutter="0"/>
          <w:pgNumType w:fmt="decimal" w:start="1"/>
          <w:cols w:space="720" w:num="1"/>
          <w:docGrid w:type="lines" w:linePitch="312" w:charSpace="0"/>
        </w:sectPr>
      </w:pPr>
      <w: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2339975</wp:posOffset>
                </wp:positionV>
                <wp:extent cx="6120130" cy="0"/>
                <wp:effectExtent l="0" t="6350" r="0" b="635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05pt;margin-top:184.25pt;height:0pt;width:481.9pt;z-index:251661312;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JB4l/XAAAACQEAAA8AAAAAAAAAAQAgAAAAIgAAAGRycy9kb3ducmV2LnhtbFBLAQIUABQA&#10;AAAIAIdO4kCSzqS08QEAAOgDAAAOAAAAAAAAAAEAIAAAACYBAABkcnMvZTJvRG9jLnhtbFBLBQYA&#10;AAAABgAGAFkBAACJBQAAAAA=&#10;">
                <v:fill on="f" focussize="0,0"/>
                <v:stroke color="#000000" joinstyle="round"/>
                <v:imagedata o:title=""/>
                <o:lock v:ext="edit" aspectratio="f"/>
              </v:line>
            </w:pict>
          </mc:Fallback>
        </mc:AlternateContent>
      </w:r>
    </w:p>
    <w:p w14:paraId="3F552D66">
      <w:pPr>
        <w:pStyle w:val="25"/>
        <w:spacing w:after="468"/>
        <w:rPr>
          <w:rFonts w:hint="eastAsia"/>
        </w:rPr>
      </w:pPr>
      <w:bookmarkStart w:id="2" w:name="_Toc509754670"/>
      <w:bookmarkStart w:id="3" w:name="_Toc508115825"/>
      <w:bookmarkStart w:id="4" w:name="_Toc510021033"/>
      <w:bookmarkStart w:id="5" w:name="_Toc508380503"/>
      <w:r>
        <w:rPr>
          <w:rFonts w:hint="eastAsia"/>
          <w:spacing w:val="320"/>
        </w:rPr>
        <w:t>目</w:t>
      </w:r>
      <w:r>
        <w:rPr>
          <w:rFonts w:hint="eastAsia"/>
        </w:rPr>
        <w:t>次</w:t>
      </w:r>
    </w:p>
    <w:p w14:paraId="733EE542">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pPr>
      <w:r>
        <w:fldChar w:fldCharType="begin"/>
      </w:r>
      <w:r>
        <w:instrText xml:space="preserve"> TOC \o "1-1" \h \t "标准文件_一级条标题,2,标准文件_附录一级条标题,2," </w:instrText>
      </w:r>
      <w:r>
        <w:fldChar w:fldCharType="separate"/>
      </w:r>
      <w:r>
        <w:fldChar w:fldCharType="begin"/>
      </w:r>
      <w:r>
        <w:instrText xml:space="preserve"> HYPERLINK \l _Toc333007516 </w:instrText>
      </w:r>
      <w:r>
        <w:fldChar w:fldCharType="separate"/>
      </w:r>
      <w:r>
        <w:rPr>
          <w:rFonts w:hint="eastAsia"/>
        </w:rPr>
        <w:t>前</w:t>
      </w:r>
      <w:r>
        <w:rPr>
          <w:rFonts w:hint="eastAsia" w:ascii="MS Mincho" w:hAnsi="MS Mincho" w:eastAsia="MS Mincho" w:cs="MS Mincho"/>
        </w:rPr>
        <w:t>  </w:t>
      </w:r>
      <w:r>
        <w:rPr>
          <w:rFonts w:hint="eastAsia"/>
        </w:rPr>
        <w:t>言</w:t>
      </w:r>
      <w:r>
        <w:tab/>
      </w:r>
      <w:r>
        <w:fldChar w:fldCharType="begin"/>
      </w:r>
      <w:r>
        <w:instrText xml:space="preserve"> PAGEREF _Toc333007516 \h </w:instrText>
      </w:r>
      <w:r>
        <w:fldChar w:fldCharType="separate"/>
      </w:r>
      <w:r>
        <w:t>1</w:t>
      </w:r>
      <w:r>
        <w:fldChar w:fldCharType="end"/>
      </w:r>
      <w:r>
        <w:fldChar w:fldCharType="end"/>
      </w:r>
    </w:p>
    <w:p w14:paraId="0E61A2B1">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pPr>
      <w:r>
        <w:fldChar w:fldCharType="begin"/>
      </w:r>
      <w:r>
        <w:instrText xml:space="preserve"> HYPERLINK \l _Toc514937330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_Toc514937330 \h </w:instrText>
      </w:r>
      <w:r>
        <w:fldChar w:fldCharType="separate"/>
      </w:r>
      <w:r>
        <w:t>2</w:t>
      </w:r>
      <w:r>
        <w:fldChar w:fldCharType="end"/>
      </w:r>
      <w:r>
        <w:fldChar w:fldCharType="end"/>
      </w:r>
    </w:p>
    <w:p w14:paraId="16A9AD5E">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pPr>
      <w:r>
        <w:fldChar w:fldCharType="begin"/>
      </w:r>
      <w:r>
        <w:instrText xml:space="preserve"> HYPERLINK \l _Toc192607900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_Toc192607900 \h </w:instrText>
      </w:r>
      <w:r>
        <w:fldChar w:fldCharType="separate"/>
      </w:r>
      <w:r>
        <w:t>2</w:t>
      </w:r>
      <w:r>
        <w:fldChar w:fldCharType="end"/>
      </w:r>
      <w:r>
        <w:fldChar w:fldCharType="end"/>
      </w:r>
    </w:p>
    <w:p w14:paraId="72190398">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pPr>
      <w:r>
        <w:fldChar w:fldCharType="begin"/>
      </w:r>
      <w:r>
        <w:instrText xml:space="preserve"> HYPERLINK \l _Toc903119271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_Toc903119271 \h </w:instrText>
      </w:r>
      <w:r>
        <w:fldChar w:fldCharType="separate"/>
      </w:r>
      <w:r>
        <w:t>2</w:t>
      </w:r>
      <w:r>
        <w:fldChar w:fldCharType="end"/>
      </w:r>
      <w:r>
        <w:fldChar w:fldCharType="end"/>
      </w:r>
    </w:p>
    <w:p w14:paraId="37C4E999">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_Toc973692869 </w:instrText>
      </w:r>
      <w:r>
        <w:rPr>
          <w:rFonts w:hint="eastAsia" w:ascii="宋体" w:hAnsi="宋体" w:eastAsia="宋体" w:cs="宋体"/>
        </w:rPr>
        <w:fldChar w:fldCharType="separate"/>
      </w:r>
      <w:r>
        <w:rPr>
          <w:rFonts w:hint="eastAsia" w:ascii="宋体" w:hAnsi="宋体" w:eastAsia="宋体" w:cs="宋体"/>
          <w:lang w:eastAsia="zh-Hans"/>
        </w:rPr>
        <w:t>4 测评目标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_Toc973692869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14:paraId="6DDA2A58">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_Toc2146949526 </w:instrText>
      </w:r>
      <w:r>
        <w:rPr>
          <w:rFonts w:hint="eastAsia" w:ascii="宋体" w:hAnsi="宋体" w:eastAsia="宋体" w:cs="宋体"/>
        </w:rPr>
        <w:fldChar w:fldCharType="separate"/>
      </w:r>
      <w:r>
        <w:rPr>
          <w:rFonts w:hint="eastAsia" w:ascii="宋体" w:hAnsi="宋体" w:eastAsia="宋体" w:cs="宋体"/>
          <w:lang w:val="en-US" w:eastAsia="zh-CN"/>
        </w:rPr>
        <w:t>5 测评内容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_Toc2146949526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14:paraId="748D1D5B">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_Toc708033662 </w:instrText>
      </w:r>
      <w:r>
        <w:rPr>
          <w:rFonts w:hint="eastAsia" w:ascii="宋体" w:hAnsi="宋体" w:eastAsia="宋体" w:cs="宋体"/>
        </w:rPr>
        <w:fldChar w:fldCharType="separate"/>
      </w:r>
      <w:r>
        <w:rPr>
          <w:rFonts w:hint="eastAsia" w:ascii="宋体" w:hAnsi="宋体" w:eastAsia="宋体" w:cs="宋体"/>
        </w:rPr>
        <w:t xml:space="preserve">6 </w:t>
      </w:r>
      <w:r>
        <w:rPr>
          <w:rFonts w:hint="eastAsia" w:ascii="宋体" w:hAnsi="宋体" w:eastAsia="宋体" w:cs="宋体"/>
          <w:lang w:val="en-US" w:eastAsia="zh-CN"/>
        </w:rPr>
        <w:t>测评流程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_Toc708033662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14:paraId="17B58BB5">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_Toc714869207 </w:instrText>
      </w:r>
      <w:r>
        <w:rPr>
          <w:rFonts w:hint="eastAsia" w:ascii="宋体" w:hAnsi="宋体" w:eastAsia="宋体" w:cs="宋体"/>
        </w:rPr>
        <w:fldChar w:fldCharType="separate"/>
      </w:r>
      <w:r>
        <w:rPr>
          <w:rFonts w:hint="eastAsia" w:ascii="宋体" w:hAnsi="宋体" w:eastAsia="宋体" w:cs="宋体"/>
          <w:lang w:eastAsia="zh-Hans"/>
        </w:rPr>
        <w:t xml:space="preserve">6.1 </w:t>
      </w:r>
      <w:r>
        <w:rPr>
          <w:rFonts w:hint="eastAsia" w:ascii="宋体" w:hAnsi="宋体" w:eastAsia="宋体" w:cs="宋体"/>
          <w:lang w:val="en-US" w:eastAsia="zh-CN"/>
        </w:rPr>
        <w:t>测评方法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_Toc714869207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14:paraId="70D5A114">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_Toc1045543299 </w:instrText>
      </w:r>
      <w:r>
        <w:rPr>
          <w:rFonts w:hint="eastAsia" w:ascii="宋体" w:hAnsi="宋体" w:eastAsia="宋体" w:cs="宋体"/>
        </w:rPr>
        <w:fldChar w:fldCharType="separate"/>
      </w:r>
      <w:r>
        <w:rPr>
          <w:rFonts w:hint="eastAsia" w:ascii="宋体" w:hAnsi="宋体" w:eastAsia="宋体" w:cs="宋体"/>
          <w:lang w:val="en-US" w:eastAsia="zh-CN"/>
        </w:rPr>
        <w:t>7 设定满意度改进标准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_Toc1045543299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rPr>
        <w:fldChar w:fldCharType="end"/>
      </w:r>
    </w:p>
    <w:p w14:paraId="14E9B292">
      <w:pPr>
        <w:pStyle w:val="6"/>
        <w:keepNext w:val="0"/>
        <w:keepLines w:val="0"/>
        <w:pageBreakBefore w:val="0"/>
        <w:widowControl/>
        <w:tabs>
          <w:tab w:val="right" w:leader="dot" w:pos="8306"/>
          <w:tab w:val="clear" w:pos="9241"/>
        </w:tabs>
        <w:kinsoku/>
        <w:wordWrap/>
        <w:overflowPunct/>
        <w:topLinePunct w:val="0"/>
        <w:autoSpaceDE/>
        <w:autoSpaceDN/>
        <w:bidi w:val="0"/>
        <w:adjustRightInd/>
        <w:snapToGrid/>
        <w:spacing w:before="0" w:beforeLines="0" w:after="0" w:afterLines="0" w:line="480" w:lineRule="auto"/>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_Toc6518965 </w:instrText>
      </w:r>
      <w:r>
        <w:rPr>
          <w:rFonts w:hint="eastAsia" w:ascii="宋体" w:hAnsi="宋体" w:eastAsia="宋体" w:cs="宋体"/>
        </w:rPr>
        <w:fldChar w:fldCharType="separate"/>
      </w:r>
      <w:r>
        <w:rPr>
          <w:rFonts w:hint="eastAsia" w:ascii="宋体" w:hAnsi="宋体" w:eastAsia="宋体" w:cs="宋体"/>
          <w:lang w:val="en-US" w:eastAsia="zh-CN"/>
        </w:rPr>
        <w:t>8 培训与改进机制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_Toc6518965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rPr>
        <w:fldChar w:fldCharType="end"/>
      </w:r>
    </w:p>
    <w:p w14:paraId="5D2DEAF3">
      <w:pPr>
        <w:pStyle w:val="26"/>
        <w:spacing w:line="360" w:lineRule="auto"/>
        <w:sectPr>
          <w:headerReference r:id="rId7" w:type="default"/>
          <w:footerReference r:id="rId8" w:type="default"/>
          <w:pgSz w:w="11906" w:h="16838"/>
          <w:pgMar w:top="1440" w:right="1800" w:bottom="1440" w:left="1800" w:header="1418" w:footer="1134" w:gutter="0"/>
          <w:pgNumType w:fmt="decimal" w:start="1"/>
          <w:cols w:space="720" w:num="1"/>
          <w:formProt w:val="0"/>
          <w:docGrid w:type="lines" w:linePitch="312" w:charSpace="0"/>
        </w:sectPr>
      </w:pPr>
    </w:p>
    <w:p w14:paraId="21CD6778">
      <w:pPr>
        <w:pStyle w:val="26"/>
        <w:spacing w:line="360" w:lineRule="auto"/>
      </w:pPr>
      <w:r>
        <w:fldChar w:fldCharType="end"/>
      </w:r>
      <w:bookmarkStart w:id="6" w:name="_Toc2064842525"/>
      <w:bookmarkStart w:id="7" w:name="_Toc333007516"/>
      <w:bookmarkStart w:id="8" w:name="_Toc1602204600"/>
      <w:r>
        <w:rPr>
          <w:rFonts w:hint="eastAsia"/>
        </w:rPr>
        <w:t>前</w:t>
      </w:r>
      <w:bookmarkStart w:id="9" w:name="BKQY"/>
      <w:r>
        <w:rPr>
          <w:rFonts w:hint="eastAsia" w:ascii="MS Mincho" w:hAnsi="MS Mincho" w:eastAsia="MS Mincho" w:cs="MS Mincho"/>
        </w:rPr>
        <w:t>  </w:t>
      </w:r>
      <w:r>
        <w:rPr>
          <w:rFonts w:hint="eastAsia"/>
        </w:rPr>
        <w:t>言</w:t>
      </w:r>
      <w:bookmarkEnd w:id="2"/>
      <w:bookmarkEnd w:id="3"/>
      <w:bookmarkEnd w:id="4"/>
      <w:bookmarkEnd w:id="5"/>
      <w:bookmarkEnd w:id="6"/>
      <w:bookmarkEnd w:id="7"/>
      <w:bookmarkEnd w:id="8"/>
      <w:bookmarkEnd w:id="9"/>
    </w:p>
    <w:p w14:paraId="4BC29A02">
      <w:pPr>
        <w:pStyle w:val="27"/>
        <w:ind w:firstLine="420"/>
      </w:pPr>
      <w:r>
        <w:rPr>
          <w:rFonts w:hint="eastAsia"/>
        </w:rPr>
        <w:t>本标准按照GB/T 1.1—2020《标准化工作导则  第1部分：标准化文件的结构和起草规则》的规定起草。</w:t>
      </w:r>
    </w:p>
    <w:p w14:paraId="2DF0AE40">
      <w:pPr>
        <w:pStyle w:val="27"/>
        <w:ind w:firstLine="420"/>
      </w:pPr>
      <w:r>
        <w:rPr>
          <w:rFonts w:hint="eastAsia"/>
        </w:rPr>
        <w:t>请注意本标准的某些内容可能涉及专利。本标准的发布机构不承担识别专利的责任。</w:t>
      </w:r>
    </w:p>
    <w:p w14:paraId="518E0C56">
      <w:pPr>
        <w:pStyle w:val="27"/>
        <w:ind w:firstLine="420"/>
      </w:pPr>
      <w:r>
        <w:rPr>
          <w:rFonts w:hint="eastAsia"/>
        </w:rPr>
        <w:t>本标准由</w:t>
      </w:r>
      <w:r>
        <w:rPr>
          <w:rFonts w:hint="eastAsia"/>
          <w:lang w:val="en-US" w:eastAsia="zh-CN"/>
        </w:rPr>
        <w:t>浙江省物流协会</w:t>
      </w:r>
      <w:r>
        <w:rPr>
          <w:rFonts w:hint="eastAsia"/>
        </w:rPr>
        <w:t>提出</w:t>
      </w:r>
      <w:r>
        <w:rPr>
          <w:rFonts w:hint="eastAsia"/>
          <w:lang w:val="en-US" w:eastAsia="zh-CN"/>
        </w:rPr>
        <w:t>并</w:t>
      </w:r>
      <w:r>
        <w:rPr>
          <w:rFonts w:hint="eastAsia"/>
        </w:rPr>
        <w:t>归口。</w:t>
      </w:r>
    </w:p>
    <w:p w14:paraId="17C742A9">
      <w:pPr>
        <w:pStyle w:val="27"/>
        <w:ind w:firstLine="420"/>
        <w:rPr>
          <w:rFonts w:hint="default" w:ascii="宋体" w:hAnsi="Times New Roman" w:eastAsia="宋体" w:cs="Times New Roman"/>
          <w:lang w:val="en-US" w:eastAsia="zh-Hans"/>
        </w:rPr>
      </w:pPr>
      <w:r>
        <w:rPr>
          <w:rFonts w:hint="eastAsia"/>
          <w:color w:val="auto"/>
        </w:rPr>
        <w:t>本标准起草</w:t>
      </w:r>
      <w:r>
        <w:rPr>
          <w:rFonts w:hint="eastAsia" w:ascii="宋体" w:hAnsi="Times New Roman" w:eastAsia="宋体" w:cs="Times New Roman"/>
          <w:lang w:val="en-US" w:eastAsia="zh-CN"/>
        </w:rPr>
        <w:t>单位：华瑞物流股份有限公司、杭州临港物流有限公司、平湖华瑞仓储有限公司</w:t>
      </w:r>
      <w:r>
        <w:rPr>
          <w:rFonts w:hint="eastAsia" w:cs="Times New Roman"/>
          <w:lang w:val="en-US" w:eastAsia="zh-CN"/>
        </w:rPr>
        <w:t>、浙江省物流协会</w:t>
      </w:r>
    </w:p>
    <w:p w14:paraId="4E83F670">
      <w:pPr>
        <w:pStyle w:val="23"/>
        <w:rPr>
          <w:rFonts w:hint="default" w:ascii="宋体" w:hAnsi="Times New Roman" w:eastAsia="宋体" w:cs="Times New Roman"/>
          <w:color w:val="auto"/>
          <w:lang w:val="en-US"/>
        </w:rPr>
      </w:pPr>
      <w:r>
        <w:rPr>
          <w:rFonts w:hint="eastAsia"/>
          <w:color w:val="auto"/>
        </w:rPr>
        <w:t>本标准主要起草人：</w:t>
      </w:r>
      <w:bookmarkStart w:id="10" w:name="OLE_LINK2"/>
      <w:r>
        <w:rPr>
          <w:rFonts w:hint="eastAsia" w:ascii="宋体" w:hAnsi="Times New Roman" w:eastAsia="宋体" w:cs="Times New Roman"/>
          <w:color w:val="auto"/>
          <w:lang w:val="en-US" w:eastAsia="zh-CN"/>
        </w:rPr>
        <w:t>沈宏樑、赵曦、汪艳</w:t>
      </w:r>
      <w:bookmarkStart w:id="11" w:name="OLE_LINK7"/>
      <w:r>
        <w:rPr>
          <w:rFonts w:hint="eastAsia" w:ascii="宋体" w:hAnsi="Times New Roman" w:eastAsia="宋体" w:cs="Times New Roman"/>
          <w:color w:val="auto"/>
          <w:lang w:val="en-US" w:eastAsia="zh-CN"/>
        </w:rPr>
        <w:t>、王琦峰、龚海飞</w:t>
      </w:r>
      <w:bookmarkEnd w:id="11"/>
      <w:r>
        <w:rPr>
          <w:rFonts w:hint="eastAsia" w:ascii="宋体" w:hAnsi="Times New Roman" w:eastAsia="宋体" w:cs="Times New Roman"/>
          <w:color w:val="auto"/>
          <w:lang w:val="en-US" w:eastAsia="zh-CN"/>
        </w:rPr>
        <w:t>、朱海良</w:t>
      </w:r>
      <w:bookmarkStart w:id="12" w:name="OLE_LINK8"/>
      <w:bookmarkStart w:id="13" w:name="OLE_LINK9"/>
      <w:r>
        <w:rPr>
          <w:rFonts w:hint="eastAsia" w:ascii="宋体" w:hAnsi="Times New Roman" w:eastAsia="宋体" w:cs="Times New Roman"/>
          <w:color w:val="auto"/>
          <w:lang w:val="en-US" w:eastAsia="zh-CN"/>
        </w:rPr>
        <w:t>、徐亚良、</w:t>
      </w:r>
      <w:bookmarkEnd w:id="12"/>
      <w:r>
        <w:rPr>
          <w:rFonts w:hint="eastAsia" w:ascii="宋体" w:hAnsi="Times New Roman" w:eastAsia="宋体" w:cs="Times New Roman"/>
          <w:color w:val="auto"/>
          <w:lang w:val="en-US" w:eastAsia="zh-CN"/>
        </w:rPr>
        <w:t>万佳、凌晓芳</w:t>
      </w:r>
      <w:bookmarkEnd w:id="10"/>
      <w:bookmarkEnd w:id="13"/>
      <w:r>
        <w:rPr>
          <w:rFonts w:hint="eastAsia" w:cs="Times New Roman"/>
          <w:color w:val="auto"/>
          <w:lang w:val="en-US" w:eastAsia="zh-CN"/>
        </w:rPr>
        <w:t>、杨少君</w:t>
      </w:r>
    </w:p>
    <w:p w14:paraId="06284946">
      <w:pPr>
        <w:pStyle w:val="23"/>
      </w:pPr>
    </w:p>
    <w:p w14:paraId="45FEB112">
      <w:pPr>
        <w:pStyle w:val="23"/>
        <w:sectPr>
          <w:footerReference r:id="rId9" w:type="default"/>
          <w:pgSz w:w="11906" w:h="16838"/>
          <w:pgMar w:top="1440" w:right="1800" w:bottom="1440" w:left="1800" w:header="1418" w:footer="1134" w:gutter="0"/>
          <w:pgNumType w:fmt="decimal" w:start="1"/>
          <w:cols w:space="720" w:num="1"/>
          <w:formProt w:val="0"/>
          <w:docGrid w:type="lines" w:linePitch="312" w:charSpace="0"/>
        </w:sectPr>
      </w:pPr>
    </w:p>
    <w:p w14:paraId="216FB160">
      <w:pPr>
        <w:pStyle w:val="23"/>
      </w:pPr>
    </w:p>
    <w:p w14:paraId="12ED7A8A">
      <w:pPr>
        <w:rPr>
          <w:rFonts w:hAnsi="Times New Roman" w:cs="Times New Roman"/>
          <w:sz w:val="21"/>
          <w:szCs w:val="20"/>
        </w:rPr>
      </w:pPr>
    </w:p>
    <w:p w14:paraId="01AFB8D6">
      <w:pPr>
        <w:keepNext w:val="0"/>
        <w:keepLines w:val="0"/>
        <w:pageBreakBefore w:val="0"/>
        <w:kinsoku/>
        <w:wordWrap/>
        <w:overflowPunct/>
        <w:topLinePunct w:val="0"/>
        <w:autoSpaceDE/>
        <w:autoSpaceDN/>
        <w:bidi w:val="0"/>
        <w:adjustRightInd/>
        <w:snapToGrid/>
        <w:spacing w:line="360" w:lineRule="auto"/>
        <w:ind w:left="0" w:leftChars="0"/>
        <w:jc w:val="center"/>
        <w:textAlignment w:val="auto"/>
        <w:outlineLvl w:val="9"/>
        <w:rPr>
          <w:rFonts w:hint="eastAsia" w:ascii="宋体" w:hAnsi="宋体" w:eastAsia="宋体" w:cs="Times New Roman"/>
          <w:b/>
          <w:color w:val="auto"/>
          <w:sz w:val="36"/>
          <w:szCs w:val="36"/>
        </w:rPr>
      </w:pPr>
      <w:bookmarkStart w:id="14" w:name="_Toc24884218"/>
      <w:bookmarkStart w:id="15" w:name="_Toc129721860"/>
      <w:bookmarkStart w:id="16" w:name="_Toc26718930"/>
      <w:bookmarkStart w:id="17" w:name="_Toc17233325"/>
      <w:bookmarkStart w:id="18" w:name="_Toc24884211"/>
      <w:bookmarkStart w:id="19" w:name="_Toc26986771"/>
      <w:bookmarkStart w:id="20" w:name="_Toc1334569968"/>
      <w:bookmarkStart w:id="21" w:name="_Toc97191423"/>
      <w:bookmarkStart w:id="22" w:name="_Toc26986530"/>
      <w:bookmarkStart w:id="23" w:name="_Toc17233333"/>
      <w:bookmarkStart w:id="24" w:name="_Toc129593792"/>
      <w:bookmarkStart w:id="25" w:name="_Toc26648465"/>
      <w:bookmarkStart w:id="26" w:name="_Toc129466091"/>
      <w:bookmarkStart w:id="27" w:name="_Toc129633374"/>
      <w:bookmarkStart w:id="28" w:name="_Toc955262467"/>
      <w:bookmarkStart w:id="29" w:name="_Toc472582155"/>
      <w:r>
        <w:rPr>
          <w:rFonts w:hint="eastAsia" w:ascii="黑体" w:hAnsi="黑体" w:eastAsia="黑体" w:cs="黑体"/>
          <w:sz w:val="28"/>
          <w:szCs w:val="28"/>
          <w:lang w:val="en-US" w:eastAsia="zh-CN"/>
        </w:rPr>
        <w:t>供应链系统解决方案客户满意度测评规范</w:t>
      </w:r>
    </w:p>
    <w:p w14:paraId="4C90327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outlineLvl w:val="9"/>
        <w:rPr>
          <w:rFonts w:hint="eastAsia" w:ascii="黑体" w:hAnsi="黑体" w:eastAsia="黑体" w:cs="黑体"/>
          <w:sz w:val="28"/>
          <w:szCs w:val="28"/>
        </w:rPr>
      </w:pPr>
    </w:p>
    <w:p w14:paraId="7C390975">
      <w:pPr>
        <w:pStyle w:val="28"/>
        <w:spacing w:before="312" w:after="312"/>
      </w:pPr>
      <w:bookmarkStart w:id="30" w:name="_Toc514937330"/>
      <w:r>
        <w:rPr>
          <w:rFonts w:hint="eastAsia"/>
        </w:rPr>
        <w:t>范围</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01F8E577">
      <w:pPr>
        <w:pStyle w:val="27"/>
        <w:ind w:firstLine="420"/>
        <w:rPr>
          <w:rFonts w:hint="eastAsia"/>
          <w:lang w:eastAsia="zh-Hans"/>
        </w:rPr>
      </w:pPr>
      <w:bookmarkStart w:id="31" w:name="_Toc17233326"/>
      <w:bookmarkStart w:id="32" w:name="_Toc17233334"/>
      <w:bookmarkStart w:id="33" w:name="_Toc26648466"/>
      <w:bookmarkStart w:id="34" w:name="_Toc24884212"/>
      <w:bookmarkStart w:id="35" w:name="_Toc24884219"/>
      <w:r>
        <w:rPr>
          <w:rFonts w:hint="eastAsia"/>
          <w:lang w:eastAsia="zh-Hans"/>
        </w:rPr>
        <w:t>本文件规定了供应链系统解决方案客户满意度测评目标、测评内容、测评流程等，旨在通过科学、系统、规范的测评，全面评估供应链系统解决方案在各个环节的表现，确保能高效、准确地满足客户需求，提升供应链整体服务质量和客户满意度，并为持续改进提供依据。</w:t>
      </w:r>
    </w:p>
    <w:p w14:paraId="5659D991">
      <w:pPr>
        <w:pStyle w:val="27"/>
        <w:ind w:firstLine="420"/>
        <w:rPr>
          <w:rFonts w:hint="eastAsia"/>
        </w:rPr>
      </w:pPr>
      <w:r>
        <w:rPr>
          <w:rFonts w:hint="eastAsia"/>
          <w:lang w:eastAsia="zh-Hans"/>
        </w:rPr>
        <w:t>本文件适用于所有使用供应链系统解决方案客户满意度的测评与改进。</w:t>
      </w:r>
    </w:p>
    <w:p w14:paraId="47185756">
      <w:pPr>
        <w:pStyle w:val="28"/>
        <w:spacing w:before="312" w:after="312"/>
      </w:pPr>
      <w:bookmarkStart w:id="36" w:name="_Toc129593793"/>
      <w:bookmarkStart w:id="37" w:name="_Toc97191424"/>
      <w:bookmarkStart w:id="38" w:name="_Toc192607900"/>
      <w:bookmarkStart w:id="39" w:name="_Toc26986772"/>
      <w:bookmarkStart w:id="40" w:name="_Toc508537897"/>
      <w:bookmarkStart w:id="41" w:name="_Toc26718931"/>
      <w:bookmarkStart w:id="42" w:name="_Toc129466092"/>
      <w:bookmarkStart w:id="43" w:name="_Toc1293752479"/>
      <w:bookmarkStart w:id="44" w:name="_Toc129633375"/>
      <w:bookmarkStart w:id="45" w:name="_Toc26986531"/>
      <w:bookmarkStart w:id="46" w:name="_Toc1798242908"/>
      <w:bookmarkStart w:id="47" w:name="_Toc129721861"/>
      <w:r>
        <w:rPr>
          <w:rFonts w:hint="eastAsia"/>
        </w:rPr>
        <w:t>规范性引用文件</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FA4AB43">
      <w:pPr>
        <w:pStyle w:val="27"/>
        <w:ind w:firstLine="420"/>
        <w:rPr>
          <w:color w:val="auto"/>
        </w:rPr>
      </w:pPr>
      <w:r>
        <w:rPr>
          <w:rFonts w:hint="eastAsia"/>
        </w:rPr>
        <w:t>下列文件中的内容通过文中的规范性引用而构成本文件必不可少的条款。其中，注日期的引用文件，仅该日期对应的版本适用于本文件；不注日期的引用文件，其最新版本（包括</w:t>
      </w:r>
      <w:r>
        <w:rPr>
          <w:rFonts w:hint="eastAsia"/>
          <w:color w:val="auto"/>
        </w:rPr>
        <w:t>所有的修改单）适用于本文件。</w:t>
      </w:r>
    </w:p>
    <w:p w14:paraId="66B7BC9B">
      <w:pPr>
        <w:pStyle w:val="27"/>
        <w:ind w:firstLine="420"/>
        <w:rPr>
          <w:rFonts w:hint="eastAsia" w:ascii="宋体" w:hAnsi="Times New Roman" w:eastAsia="宋体" w:cs="Times New Roman"/>
        </w:rPr>
      </w:pPr>
      <w:bookmarkStart w:id="48" w:name="_Toc129721862"/>
      <w:bookmarkStart w:id="49" w:name="_Toc97191425"/>
      <w:bookmarkStart w:id="50" w:name="_Toc129466093"/>
      <w:bookmarkStart w:id="51" w:name="_Toc1531190525"/>
      <w:bookmarkStart w:id="52" w:name="_Toc129633376"/>
      <w:bookmarkStart w:id="53" w:name="_Toc11519819"/>
      <w:bookmarkStart w:id="54" w:name="_Toc129593794"/>
      <w:bookmarkStart w:id="55" w:name="_Toc825988678"/>
      <w:r>
        <w:rPr>
          <w:rFonts w:hint="eastAsia" w:ascii="宋体" w:hAnsi="Times New Roman" w:eastAsia="宋体" w:cs="Times New Roman"/>
        </w:rPr>
        <w:t>SB/T 10409-2007 商业服务业顾客满意度测评规范</w:t>
      </w:r>
    </w:p>
    <w:p w14:paraId="6C4734B8">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GB/T 19000-2016 质量管理体系 基础和术语</w:t>
      </w:r>
    </w:p>
    <w:p w14:paraId="10D14552">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GB/T18354-2021 物流术语</w:t>
      </w:r>
    </w:p>
    <w:p w14:paraId="7BA5B4D8">
      <w:pPr>
        <w:pStyle w:val="28"/>
        <w:spacing w:before="312" w:after="312"/>
      </w:pPr>
      <w:bookmarkStart w:id="56" w:name="_Toc903119271"/>
      <w:r>
        <w:rPr>
          <w:rFonts w:hint="eastAsia"/>
          <w:szCs w:val="21"/>
        </w:rPr>
        <w:t>术语和定义</w:t>
      </w:r>
      <w:bookmarkEnd w:id="48"/>
      <w:bookmarkEnd w:id="49"/>
      <w:bookmarkEnd w:id="50"/>
      <w:bookmarkEnd w:id="51"/>
      <w:bookmarkEnd w:id="52"/>
      <w:bookmarkEnd w:id="53"/>
      <w:bookmarkEnd w:id="54"/>
      <w:bookmarkEnd w:id="55"/>
      <w:bookmarkEnd w:id="56"/>
    </w:p>
    <w:p w14:paraId="4C3879F1">
      <w:pPr>
        <w:pStyle w:val="27"/>
        <w:ind w:firstLine="420"/>
      </w:pPr>
      <w:bookmarkStart w:id="57" w:name="_Toc26986532"/>
      <w:bookmarkEnd w:id="57"/>
      <w:r>
        <w:t>下列术语和定义适用于本文件。</w:t>
      </w:r>
    </w:p>
    <w:p w14:paraId="3E59375F">
      <w:pPr>
        <w:pStyle w:val="29"/>
        <w:spacing w:before="156" w:after="156"/>
        <w:rPr>
          <w:rFonts w:hint="eastAsia" w:ascii="Times New Roman" w:hAnsi="Times New Roman"/>
        </w:rPr>
      </w:pPr>
      <w:bookmarkStart w:id="58" w:name="_Toc129593795"/>
      <w:bookmarkEnd w:id="58"/>
      <w:bookmarkStart w:id="59" w:name="_Toc1422611674"/>
      <w:bookmarkEnd w:id="59"/>
      <w:bookmarkStart w:id="60" w:name="_Toc129725098"/>
      <w:bookmarkEnd w:id="60"/>
      <w:bookmarkStart w:id="61" w:name="_Toc340069703"/>
      <w:bookmarkEnd w:id="61"/>
      <w:bookmarkStart w:id="62" w:name="_Toc129633377"/>
      <w:bookmarkEnd w:id="62"/>
      <w:bookmarkStart w:id="63" w:name="_Toc129634785"/>
      <w:bookmarkEnd w:id="63"/>
      <w:bookmarkStart w:id="64" w:name="_Toc129721863"/>
      <w:bookmarkEnd w:id="64"/>
      <w:bookmarkStart w:id="65" w:name="_Toc1918697320"/>
      <w:bookmarkEnd w:id="65"/>
      <w:bookmarkStart w:id="66" w:name="_Toc129466094"/>
      <w:bookmarkEnd w:id="66"/>
      <w:bookmarkStart w:id="67" w:name="_Toc311170701"/>
      <w:bookmarkStart w:id="68" w:name="_Toc12244"/>
      <w:r>
        <w:rPr>
          <w:rFonts w:hint="eastAsia" w:ascii="Times New Roman" w:hAnsi="Times New Roman"/>
        </w:rPr>
        <w:t>供应链Supply Chain</w:t>
      </w:r>
      <w:bookmarkEnd w:id="67"/>
    </w:p>
    <w:p w14:paraId="0EBDE949">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生产及流通过程中，围绕核心企业的核心产品或服务，由所涉及的原材料供应商、制造商、分销商、零售商直到最终用户等形成的网链结构。</w:t>
      </w:r>
    </w:p>
    <w:p w14:paraId="0E6A4F2B">
      <w:pPr>
        <w:pStyle w:val="29"/>
        <w:spacing w:before="156" w:after="156"/>
        <w:rPr>
          <w:rFonts w:hint="eastAsia" w:ascii="Times New Roman" w:hAnsi="Times New Roman"/>
        </w:rPr>
      </w:pPr>
      <w:bookmarkStart w:id="69" w:name="_Toc723291262"/>
      <w:r>
        <w:rPr>
          <w:rFonts w:hint="eastAsia" w:ascii="Times New Roman" w:hAnsi="Times New Roman"/>
        </w:rPr>
        <w:t>供应链管理Supply Chain Management</w:t>
      </w:r>
      <w:bookmarkEnd w:id="69"/>
    </w:p>
    <w:p w14:paraId="5017786E">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从供应链整体目标出发，对供应链中采购、生产、销售各环节的商流、物流、信息流及资金流进行统一计划、组织、协调、控制的活动和过程。</w:t>
      </w:r>
    </w:p>
    <w:p w14:paraId="6F40AA08">
      <w:pPr>
        <w:pStyle w:val="29"/>
        <w:spacing w:before="156" w:after="156"/>
        <w:rPr>
          <w:rFonts w:hint="eastAsia" w:ascii="Times New Roman" w:hAnsi="Times New Roman"/>
        </w:rPr>
      </w:pPr>
      <w:bookmarkStart w:id="70" w:name="_Toc1598798414"/>
      <w:r>
        <w:rPr>
          <w:rFonts w:hint="eastAsia" w:ascii="Times New Roman" w:hAnsi="Times New Roman"/>
        </w:rPr>
        <w:t>供应链系统解决方案 Supply Chain</w:t>
      </w:r>
      <w:r>
        <w:rPr>
          <w:rFonts w:hint="eastAsia" w:ascii="Times New Roman"/>
          <w:lang w:val="en-US" w:eastAsia="zh-CN"/>
        </w:rPr>
        <w:t xml:space="preserve"> System </w:t>
      </w:r>
      <w:r>
        <w:rPr>
          <w:rFonts w:hint="eastAsia" w:ascii="Times New Roman" w:hAnsi="Times New Roman"/>
        </w:rPr>
        <w:t>Solutions</w:t>
      </w:r>
      <w:bookmarkEnd w:id="70"/>
    </w:p>
    <w:p w14:paraId="03BB2A2A">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供应链系统解决方案是指一系列的策略、工具、技术和流程，旨在优化供应链管理，提高效率，降低成本，并增强整个供应链的透明度和响应速度。包括：</w:t>
      </w:r>
    </w:p>
    <w:p w14:paraId="1E9CBDC9">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①需求预测：使用历史数据、市场趋势、季节性因素等来预测产品需求，帮助公司更好地计划生产和库存。</w:t>
      </w:r>
    </w:p>
    <w:p w14:paraId="04057EB3">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②库存管理：确保库存水平与需求相匹配，避免过多或过少库存，减少资金占用和过时风险。</w:t>
      </w:r>
    </w:p>
    <w:p w14:paraId="172332F0">
      <w:pPr>
        <w:pStyle w:val="30"/>
        <w:numPr>
          <w:ilvl w:val="3"/>
          <w:numId w:val="0"/>
        </w:numPr>
        <w:ind w:leftChars="0" w:firstLine="420" w:firstLineChars="200"/>
        <w:outlineLvl w:val="9"/>
        <w:rPr>
          <w:rFonts w:hint="eastAsia" w:ascii="Times New Roman" w:hAnsi="Times New Roman"/>
        </w:rPr>
      </w:pPr>
      <w:r>
        <w:rPr>
          <w:rFonts w:hint="eastAsia" w:ascii="宋体" w:hAnsi="Times New Roman" w:eastAsia="宋体" w:cs="Times New Roman"/>
        </w:rPr>
        <w:t>③供应商管理：选择合适的供应商，评估和管理供应商绩效，确保原材料和产品的质量</w:t>
      </w:r>
      <w:r>
        <w:rPr>
          <w:rFonts w:hint="eastAsia" w:ascii="Times New Roman" w:hAnsi="Times New Roman"/>
        </w:rPr>
        <w:t>和供应稳定性。</w:t>
      </w:r>
    </w:p>
    <w:p w14:paraId="192CCA5E">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④订单处理：自动化订单处理流程，提高订单准确性和处理速度，减少错误和延误。</w:t>
      </w:r>
    </w:p>
    <w:p w14:paraId="533726FE">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⑤物流和配送：优化运输路线和方法，减少运输成本和时间，确保产品及时送达。</w:t>
      </w:r>
    </w:p>
    <w:p w14:paraId="608B41C0">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⑥信息技术系统：使用ERP（企业资源规划）、SCM（供应链管理）软件等信息技术工具来集成和管理供应链数据和流程。</w:t>
      </w:r>
    </w:p>
    <w:p w14:paraId="74181FE4">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⑦协作和整合：与供应链上下游企业建立紧密的合作关系，实现信息共享和流程协同。</w:t>
      </w:r>
    </w:p>
    <w:p w14:paraId="565E18ED">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⑧风险管理：识别供应链中的潜在风险，如供应中断、需求波动等，并制定应对策略。</w:t>
      </w:r>
    </w:p>
    <w:p w14:paraId="51C8278C">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⑨持续改进：通过数据分析和反馈机制，不断寻找改进供应链效率和效果的机会。</w:t>
      </w:r>
    </w:p>
    <w:p w14:paraId="5B9034ED">
      <w:pPr>
        <w:pStyle w:val="29"/>
        <w:spacing w:before="156" w:after="156"/>
        <w:rPr>
          <w:rFonts w:hint="eastAsia" w:ascii="Times New Roman" w:hAnsi="Times New Roman"/>
        </w:rPr>
      </w:pPr>
      <w:bookmarkStart w:id="71" w:name="_Toc1689552834"/>
      <w:r>
        <w:rPr>
          <w:rFonts w:hint="eastAsia" w:ascii="Times New Roman" w:hAnsi="Times New Roman"/>
        </w:rPr>
        <w:t xml:space="preserve">客户满意度测评 Customer Satisfaction </w:t>
      </w:r>
      <w:bookmarkEnd w:id="71"/>
      <w:r>
        <w:rPr>
          <w:rFonts w:hint="eastAsia" w:ascii="Times New Roman"/>
          <w:lang w:val="en-US" w:eastAsia="zh-CN"/>
        </w:rPr>
        <w:t>Evaluation</w:t>
      </w:r>
    </w:p>
    <w:p w14:paraId="5CFE9B3F">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客户满意度测评是一种系统化的过程，通过这一过程，企业可以收集、分析和解释客户反馈与数据，以此来评估客户对公司提供的产品、服务或整体体验的满意程度。</w:t>
      </w:r>
    </w:p>
    <w:p w14:paraId="297D93F5">
      <w:pPr>
        <w:pStyle w:val="29"/>
        <w:spacing w:before="156" w:after="156"/>
        <w:rPr>
          <w:rFonts w:hint="eastAsia" w:ascii="Times New Roman" w:hAnsi="Times New Roman"/>
        </w:rPr>
      </w:pPr>
      <w:bookmarkStart w:id="72" w:name="_Toc138216757"/>
      <w:r>
        <w:rPr>
          <w:rFonts w:hint="eastAsia" w:ascii="Times New Roman" w:hAnsi="Times New Roman"/>
        </w:rPr>
        <w:t>产品质量 Product Quality</w:t>
      </w:r>
      <w:bookmarkEnd w:id="72"/>
    </w:p>
    <w:p w14:paraId="59439DC7">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是指为满足企业供应链管理需求而提供的各种服务和解决方案的产品质量，包括：</w:t>
      </w:r>
    </w:p>
    <w:p w14:paraId="14D5546B">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①第三方物流服务质量：提供仓储、运输、配送、包装等系列服务质量；</w:t>
      </w:r>
    </w:p>
    <w:p w14:paraId="28C78BC6">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②第四方物流服务质量：提供战略规划、技术整合和流程优化等服务质量；</w:t>
      </w:r>
    </w:p>
    <w:p w14:paraId="3A21202D">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③供应链管理咨询质量：提供专业的建议和指导，改进供应链策略、流程设计、成本控制、风险管理等服务质量；</w:t>
      </w:r>
    </w:p>
    <w:p w14:paraId="1CB222FD">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④供应链技术解决方案质量：帮助企业自动化和优化供应链操作等服务质量；</w:t>
      </w:r>
    </w:p>
    <w:p w14:paraId="25375A27">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⑤定制物流解决方案质量：根据特定企业或企业需求，提供定制化的物流服务和解决方案，</w:t>
      </w:r>
    </w:p>
    <w:p w14:paraId="561F749B">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⑥供应链金融服务质量：包括贸易融资、信用保险、应收账款管理等服务质量；</w:t>
      </w:r>
    </w:p>
    <w:p w14:paraId="2DA24C15">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⑦逆向物流服务质量：处理退货、回收、维修和废物处理等供应链环节，帮助企业有效管理产品生命周期末端的服务质量。</w:t>
      </w:r>
    </w:p>
    <w:p w14:paraId="2A8612B6">
      <w:pPr>
        <w:pStyle w:val="29"/>
        <w:spacing w:before="156" w:after="156"/>
        <w:rPr>
          <w:rFonts w:hint="eastAsia" w:ascii="Times New Roman" w:hAnsi="Times New Roman"/>
        </w:rPr>
      </w:pPr>
      <w:bookmarkStart w:id="73" w:name="_Toc1579212492"/>
      <w:r>
        <w:rPr>
          <w:rFonts w:hint="eastAsia" w:ascii="黑体" w:hAnsi="Times New Roman" w:eastAsia="黑体" w:cs="Times New Roman"/>
        </w:rPr>
        <w:t>交货</w:t>
      </w:r>
      <w:r>
        <w:rPr>
          <w:rFonts w:hint="eastAsia" w:ascii="Times New Roman" w:hAnsi="Times New Roman"/>
        </w:rPr>
        <w:t>准时性 Delivery Timeliness</w:t>
      </w:r>
      <w:bookmarkEnd w:id="73"/>
    </w:p>
    <w:p w14:paraId="56DAEA5B">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是供应链系统能够按照与客户事先约定的时间、地点和数量，准确无误地完成产品（服务）交付的能力。它不仅要求产品（服务）按时到达（兑现），还强调交付过程的可靠性和稳定性，以减少因延误或错误交付而产生的额外成本和损失。</w:t>
      </w:r>
    </w:p>
    <w:p w14:paraId="087A1846">
      <w:pPr>
        <w:pStyle w:val="29"/>
        <w:spacing w:before="156" w:after="156"/>
        <w:rPr>
          <w:rFonts w:hint="eastAsia" w:ascii="Times New Roman" w:hAnsi="Times New Roman"/>
        </w:rPr>
      </w:pPr>
      <w:bookmarkStart w:id="74" w:name="_Toc1073959771"/>
      <w:r>
        <w:rPr>
          <w:rFonts w:hint="eastAsia" w:ascii="Times New Roman" w:hAnsi="Times New Roman"/>
        </w:rPr>
        <w:t>售后服务 After-sales Service</w:t>
      </w:r>
      <w:bookmarkEnd w:id="74"/>
    </w:p>
    <w:p w14:paraId="01143967">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是指客户在使用产品过程中遇到问题时，他们期望能够得到及时、有效的解决方案，包括客户服务热线、技术支持、产品维修等，以提高客户的满意度和忠诚度。</w:t>
      </w:r>
    </w:p>
    <w:p w14:paraId="270F5FFF">
      <w:pPr>
        <w:pStyle w:val="29"/>
        <w:spacing w:before="156" w:after="156"/>
        <w:rPr>
          <w:rFonts w:hint="eastAsia" w:ascii="Times New Roman" w:hAnsi="Times New Roman"/>
        </w:rPr>
      </w:pPr>
      <w:bookmarkStart w:id="75" w:name="_Toc441818162"/>
      <w:r>
        <w:rPr>
          <w:rFonts w:hint="eastAsia" w:ascii="Times New Roman" w:hAnsi="Times New Roman"/>
        </w:rPr>
        <w:t>价格合理性 Price Reasonableness</w:t>
      </w:r>
      <w:bookmarkEnd w:id="75"/>
    </w:p>
    <w:p w14:paraId="6CBFB975">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是指在保证产品质量和交货准时性的前提下，合理控制成本所提供的价格和为客户带来的价值相匹配的程度。这是供应链管理中的核心要素之一，直接影响到企业的市场定位、客户满意度以及长期发展的可持续性。</w:t>
      </w:r>
    </w:p>
    <w:p w14:paraId="52E63F93">
      <w:pPr>
        <w:pStyle w:val="29"/>
        <w:spacing w:before="156" w:after="156"/>
        <w:rPr>
          <w:rFonts w:hint="eastAsia" w:ascii="Times New Roman" w:hAnsi="Times New Roman"/>
        </w:rPr>
      </w:pPr>
      <w:bookmarkStart w:id="76" w:name="_Toc1786881055"/>
      <w:r>
        <w:rPr>
          <w:rFonts w:hint="eastAsia" w:ascii="Times New Roman" w:hAnsi="Times New Roman"/>
        </w:rPr>
        <w:t>信息透明度 Information Transparency</w:t>
      </w:r>
      <w:bookmarkEnd w:id="76"/>
    </w:p>
    <w:p w14:paraId="2E08EB14">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是指在整个供应链运作过程中，相关信息（如库存状态、订单进度、物流追踪、成本数据等）对供应链参与者可见和可获取的程度。</w:t>
      </w:r>
    </w:p>
    <w:p w14:paraId="6C267DF7">
      <w:pPr>
        <w:pStyle w:val="29"/>
        <w:spacing w:before="156" w:after="156"/>
        <w:rPr>
          <w:rFonts w:hint="eastAsia" w:ascii="Times New Roman" w:hAnsi="Times New Roman"/>
        </w:rPr>
      </w:pPr>
      <w:bookmarkStart w:id="77" w:name="_Toc1698571737"/>
      <w:r>
        <w:rPr>
          <w:rFonts w:hint="eastAsia" w:ascii="Times New Roman" w:hAnsi="Times New Roman"/>
        </w:rPr>
        <w:t>响应速度 Responsiveness</w:t>
      </w:r>
      <w:bookmarkEnd w:id="77"/>
    </w:p>
    <w:p w14:paraId="7CB34D48">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是指供应链各环节在接收到内外部需求或信息后，能够迅速做出反应，并调整自身运作状态以满足这些需求或处理信息的能力，体现了供应链系统的灵活性、敏捷性和协调性。</w:t>
      </w:r>
    </w:p>
    <w:p w14:paraId="01053132">
      <w:pPr>
        <w:pStyle w:val="29"/>
        <w:spacing w:before="156" w:after="156"/>
        <w:rPr>
          <w:rFonts w:hint="eastAsia" w:ascii="Times New Roman" w:hAnsi="Times New Roman"/>
        </w:rPr>
      </w:pPr>
      <w:bookmarkStart w:id="78" w:name="_Toc1395064188"/>
      <w:r>
        <w:rPr>
          <w:rFonts w:hint="eastAsia" w:ascii="黑体" w:hAnsi="Times New Roman" w:eastAsia="黑体" w:cs="Times New Roman"/>
        </w:rPr>
        <w:t>投诉</w:t>
      </w:r>
      <w:r>
        <w:rPr>
          <w:rFonts w:hint="eastAsia" w:ascii="Times New Roman" w:hAnsi="Times New Roman"/>
        </w:rPr>
        <w:t>处理能力 Complaint Handling Capability</w:t>
      </w:r>
      <w:bookmarkEnd w:id="78"/>
    </w:p>
    <w:p w14:paraId="4BBC8E66">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是指系统及其服务提供商在面对客户投诉时，能够迅速、有效地解决问题的能力。这是衡量供应链系统服务质量的重要标准。供应链系统需要建立有效的投诉处理机制，及时响应客户投诉，并采取有效措施解决问题，以恢复客户的信任和满意度。</w:t>
      </w:r>
    </w:p>
    <w:p w14:paraId="65DEB167">
      <w:pPr>
        <w:pStyle w:val="29"/>
        <w:spacing w:before="156" w:after="156"/>
        <w:rPr>
          <w:rFonts w:hint="eastAsia" w:ascii="Times New Roman" w:hAnsi="Times New Roman"/>
        </w:rPr>
      </w:pPr>
      <w:bookmarkStart w:id="79" w:name="_Toc617349770"/>
      <w:r>
        <w:rPr>
          <w:rFonts w:hint="eastAsia" w:ascii="Times New Roman" w:hAnsi="Times New Roman"/>
        </w:rPr>
        <w:t>服务柔性 Service Flexibility</w:t>
      </w:r>
      <w:bookmarkEnd w:id="79"/>
    </w:p>
    <w:p w14:paraId="3FBBD35A">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随着市场需求的不断变化和客户需求的日益多样化，供应链系统解决方案能够灵活适应客户需求变化、市场波动和业务扩展的能力，快速调整资源配置和供应链流程，以满足客户个性化需求。</w:t>
      </w:r>
    </w:p>
    <w:p w14:paraId="37AD61E1">
      <w:pPr>
        <w:pStyle w:val="29"/>
        <w:spacing w:before="156" w:after="156"/>
        <w:rPr>
          <w:rFonts w:hint="eastAsia" w:ascii="Times New Roman" w:hAnsi="Times New Roman"/>
        </w:rPr>
      </w:pPr>
      <w:bookmarkStart w:id="80" w:name="_Toc1304085733"/>
      <w:r>
        <w:rPr>
          <w:rFonts w:hint="eastAsia" w:ascii="黑体" w:hAnsi="Times New Roman" w:eastAsia="黑体" w:cs="Times New Roman"/>
        </w:rPr>
        <w:t>供应</w:t>
      </w:r>
      <w:r>
        <w:rPr>
          <w:rFonts w:hint="eastAsia" w:ascii="Times New Roman" w:hAnsi="Times New Roman"/>
        </w:rPr>
        <w:t>链韧性 Supply Chain Resilience</w:t>
      </w:r>
      <w:bookmarkEnd w:id="80"/>
    </w:p>
    <w:p w14:paraId="660828C8">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在面对各种内外部干扰或冲击时，能够快速恢复原有运作状态或适应新状态的能力。</w:t>
      </w:r>
    </w:p>
    <w:p w14:paraId="7A21C827">
      <w:pPr>
        <w:pStyle w:val="29"/>
        <w:spacing w:before="156" w:after="156"/>
        <w:rPr>
          <w:rFonts w:hint="eastAsia" w:ascii="Times New Roman" w:hAnsi="Times New Roman"/>
        </w:rPr>
      </w:pPr>
      <w:bookmarkStart w:id="81" w:name="_Toc550813249"/>
      <w:r>
        <w:rPr>
          <w:rFonts w:hint="eastAsia" w:ascii="黑体" w:hAnsi="Times New Roman" w:eastAsia="黑体" w:cs="Times New Roman"/>
        </w:rPr>
        <w:t>数据</w:t>
      </w:r>
      <w:r>
        <w:rPr>
          <w:rFonts w:hint="eastAsia" w:ascii="Times New Roman" w:hAnsi="Times New Roman"/>
        </w:rPr>
        <w:t>编码 Data Encoding</w:t>
      </w:r>
      <w:bookmarkEnd w:id="81"/>
    </w:p>
    <w:p w14:paraId="1BA069E2">
      <w:pPr>
        <w:pStyle w:val="30"/>
        <w:numPr>
          <w:ilvl w:val="3"/>
          <w:numId w:val="0"/>
        </w:numPr>
        <w:ind w:leftChars="0" w:firstLine="420" w:firstLineChars="200"/>
        <w:outlineLvl w:val="9"/>
        <w:rPr>
          <w:rFonts w:hint="eastAsia" w:ascii="宋体" w:hAnsi="Times New Roman" w:eastAsia="宋体" w:cs="Times New Roman"/>
        </w:rPr>
      </w:pPr>
      <w:r>
        <w:rPr>
          <w:rFonts w:hint="eastAsia" w:ascii="宋体" w:hAnsi="Times New Roman" w:eastAsia="宋体" w:cs="Times New Roman"/>
        </w:rPr>
        <w:t>是将文本数据转化为可用于分析的数字或分类数据的过程。</w:t>
      </w:r>
    </w:p>
    <w:p w14:paraId="4F5388DE">
      <w:pPr>
        <w:pStyle w:val="29"/>
        <w:spacing w:before="156" w:after="156"/>
        <w:rPr>
          <w:rFonts w:hint="eastAsia" w:ascii="Times New Roman" w:hAnsi="Times New Roman"/>
        </w:rPr>
      </w:pPr>
      <w:bookmarkStart w:id="82" w:name="_Toc1863757373"/>
      <w:r>
        <w:rPr>
          <w:rFonts w:hint="eastAsia" w:ascii="Times New Roman" w:hAnsi="Times New Roman"/>
        </w:rPr>
        <w:t>重要性-满意度分析（importance-satisfaction analysis）（IPA）</w:t>
      </w:r>
      <w:bookmarkEnd w:id="82"/>
    </w:p>
    <w:p w14:paraId="193B8AC5">
      <w:pPr>
        <w:pStyle w:val="30"/>
        <w:numPr>
          <w:ilvl w:val="3"/>
          <w:numId w:val="0"/>
        </w:numPr>
        <w:ind w:leftChars="0" w:firstLine="420" w:firstLineChars="200"/>
        <w:outlineLvl w:val="9"/>
        <w:rPr>
          <w:rFonts w:hint="default" w:ascii="宋体" w:hAnsi="Times New Roman" w:eastAsia="宋体" w:cs="Times New Roman"/>
        </w:rPr>
      </w:pPr>
      <w:r>
        <w:rPr>
          <w:rFonts w:hint="eastAsia" w:ascii="宋体" w:hAnsi="Times New Roman" w:eastAsia="宋体" w:cs="Times New Roman"/>
        </w:rPr>
        <w:t>是指一种评估各指标重要性和满意度水平，确定改进优先级的有效工具。</w:t>
      </w:r>
    </w:p>
    <w:bookmarkEnd w:id="68"/>
    <w:p w14:paraId="2801D1DF">
      <w:pPr>
        <w:pStyle w:val="28"/>
        <w:spacing w:before="312" w:after="312"/>
        <w:rPr>
          <w:rFonts w:hint="eastAsia"/>
          <w:lang w:eastAsia="zh-Hans"/>
        </w:rPr>
      </w:pPr>
      <w:bookmarkStart w:id="83" w:name="_Toc2141229299"/>
      <w:bookmarkEnd w:id="83"/>
      <w:bookmarkStart w:id="84" w:name="_Toc1302519310"/>
      <w:bookmarkEnd w:id="84"/>
      <w:bookmarkStart w:id="85" w:name="_Toc973692869"/>
      <w:bookmarkStart w:id="86" w:name="_Toc995821121"/>
      <w:bookmarkStart w:id="87" w:name="_Toc57782494"/>
      <w:bookmarkStart w:id="88" w:name="_Toc608973235"/>
      <w:bookmarkStart w:id="89" w:name="_Toc129593803"/>
      <w:bookmarkStart w:id="90" w:name="_Toc129633385"/>
      <w:bookmarkStart w:id="91" w:name="_Toc129466102"/>
      <w:bookmarkStart w:id="92" w:name="_Toc129721871"/>
      <w:bookmarkStart w:id="93" w:name="_Toc129721865"/>
      <w:bookmarkStart w:id="94" w:name="_Toc2114427602"/>
      <w:r>
        <w:rPr>
          <w:rFonts w:hint="eastAsia"/>
          <w:lang w:eastAsia="zh-Hans"/>
        </w:rPr>
        <w:t>测评目标</w:t>
      </w:r>
      <w:bookmarkEnd w:id="85"/>
      <w:bookmarkEnd w:id="86"/>
      <w:bookmarkEnd w:id="87"/>
    </w:p>
    <w:p w14:paraId="0E2ABEC4">
      <w:pPr>
        <w:pStyle w:val="29"/>
        <w:numPr>
          <w:ilvl w:val="2"/>
          <w:numId w:val="2"/>
        </w:numPr>
        <w:spacing w:before="156" w:after="156"/>
        <w:rPr>
          <w:rFonts w:hint="eastAsia" w:ascii="黑体" w:hAnsi="Times New Roman" w:eastAsia="黑体" w:cs="Times New Roman"/>
          <w:lang w:eastAsia="zh-Hans"/>
        </w:rPr>
      </w:pPr>
      <w:bookmarkStart w:id="95" w:name="_Toc1030659143"/>
      <w:bookmarkStart w:id="96" w:name="_Toc1476728391"/>
      <w:r>
        <w:rPr>
          <w:rFonts w:hint="eastAsia" w:ascii="黑体" w:hAnsi="Times New Roman" w:eastAsia="黑体" w:cs="Times New Roman"/>
          <w:lang w:eastAsia="zh-Hans"/>
        </w:rPr>
        <w:t>测评客户对供应链系统解决方案的整体满意度，具体包括产品（服务）质量、交货准时性、售后服务、价格合理性、信息透明度、响应速度、服务柔性和投诉处理能力等方面。</w:t>
      </w:r>
      <w:bookmarkEnd w:id="95"/>
    </w:p>
    <w:p w14:paraId="7B9B7C35">
      <w:pPr>
        <w:pStyle w:val="29"/>
        <w:numPr>
          <w:ilvl w:val="2"/>
          <w:numId w:val="2"/>
        </w:numPr>
        <w:spacing w:before="156" w:after="156"/>
        <w:rPr>
          <w:rFonts w:hint="eastAsia" w:ascii="黑体" w:hAnsi="Times New Roman" w:eastAsia="黑体" w:cs="Times New Roman"/>
          <w:lang w:eastAsia="zh-Hans"/>
        </w:rPr>
      </w:pPr>
      <w:bookmarkStart w:id="97" w:name="_Toc685119699"/>
      <w:r>
        <w:rPr>
          <w:rFonts w:hint="eastAsia" w:ascii="黑体" w:hAnsi="Times New Roman" w:eastAsia="黑体" w:cs="Times New Roman"/>
          <w:lang w:eastAsia="zh-Hans"/>
        </w:rPr>
        <w:t>识别供应链系统解决方案的优势和需要改进的领域，具体包括技术创新与整合、可持续发展、供应链韧性、数据共享与协作等方面的持续改进与提升。</w:t>
      </w:r>
      <w:bookmarkEnd w:id="96"/>
      <w:bookmarkEnd w:id="97"/>
    </w:p>
    <w:bookmarkEnd w:id="88"/>
    <w:bookmarkEnd w:id="89"/>
    <w:bookmarkEnd w:id="90"/>
    <w:bookmarkEnd w:id="91"/>
    <w:bookmarkEnd w:id="92"/>
    <w:p w14:paraId="2685FED7">
      <w:pPr>
        <w:pStyle w:val="28"/>
        <w:spacing w:before="312" w:after="312"/>
        <w:rPr>
          <w:rFonts w:hint="eastAsia" w:ascii="黑体" w:hAnsi="Times New Roman" w:eastAsia="黑体" w:cs="Times New Roman"/>
          <w:lang w:val="en-US" w:eastAsia="zh-CN"/>
        </w:rPr>
      </w:pPr>
      <w:bookmarkStart w:id="98" w:name="_Toc2146949526"/>
      <w:bookmarkStart w:id="99" w:name="_Toc975292099"/>
      <w:bookmarkStart w:id="100" w:name="_Toc492443761"/>
      <w:bookmarkStart w:id="101" w:name="_Toc1379947900"/>
      <w:r>
        <w:rPr>
          <w:rFonts w:hint="eastAsia" w:ascii="黑体" w:hAnsi="Times New Roman" w:eastAsia="黑体" w:cs="Times New Roman"/>
          <w:lang w:val="en-US" w:eastAsia="zh-CN"/>
        </w:rPr>
        <w:t>测评内容</w:t>
      </w:r>
      <w:bookmarkEnd w:id="98"/>
    </w:p>
    <w:bookmarkEnd w:id="93"/>
    <w:bookmarkEnd w:id="94"/>
    <w:bookmarkEnd w:id="99"/>
    <w:bookmarkEnd w:id="100"/>
    <w:bookmarkEnd w:id="101"/>
    <w:p w14:paraId="777E3E97">
      <w:pPr>
        <w:pStyle w:val="29"/>
        <w:numPr>
          <w:ilvl w:val="2"/>
          <w:numId w:val="2"/>
        </w:numPr>
        <w:spacing w:before="156" w:after="156"/>
        <w:rPr>
          <w:rFonts w:hint="eastAsia" w:ascii="黑体" w:hAnsi="Times New Roman" w:eastAsia="黑体" w:cs="Times New Roman"/>
          <w:lang w:eastAsia="zh-Hans"/>
        </w:rPr>
      </w:pPr>
      <w:bookmarkStart w:id="102" w:name="_Toc1760446588"/>
      <w:r>
        <w:rPr>
          <w:rFonts w:hint="eastAsia" w:ascii="黑体" w:hAnsi="Times New Roman" w:eastAsia="黑体" w:cs="Times New Roman"/>
          <w:lang w:eastAsia="zh-Hans"/>
        </w:rPr>
        <w:t>供应链系统解决方案客户满意度测评内容应涵盖服务效率、服务准确性、服务态度、服务创新等方面。</w:t>
      </w:r>
      <w:bookmarkEnd w:id="102"/>
    </w:p>
    <w:p w14:paraId="3FE661C7">
      <w:pPr>
        <w:pStyle w:val="29"/>
        <w:numPr>
          <w:ilvl w:val="2"/>
          <w:numId w:val="2"/>
        </w:numPr>
        <w:spacing w:before="156" w:after="156"/>
        <w:rPr>
          <w:rFonts w:hint="eastAsia"/>
        </w:rPr>
      </w:pPr>
      <w:bookmarkStart w:id="103" w:name="_Toc1943599797"/>
      <w:r>
        <w:rPr>
          <w:rFonts w:hint="eastAsia" w:ascii="黑体" w:hAnsi="Times New Roman" w:eastAsia="黑体" w:cs="Times New Roman"/>
          <w:lang w:eastAsia="zh-Hans"/>
        </w:rPr>
        <w:t>测评内容应包括但不限于</w:t>
      </w:r>
      <w:r>
        <w:rPr>
          <w:rFonts w:hint="eastAsia"/>
        </w:rPr>
        <w:t>：</w:t>
      </w:r>
      <w:bookmarkEnd w:id="103"/>
    </w:p>
    <w:p w14:paraId="4B17C74D">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客户对产品或服务质量的满意度，包括对供应链各环节供应商服务质量的满意度、对供应链整体服务质量的满意度等。</w:t>
      </w:r>
    </w:p>
    <w:p w14:paraId="3687AD2D">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客户对交付时效性的满意度，包括对供应链系统各环节的时间规划与管理、需求预测分析、库存优化管理、物流运输协同、数字化技术应用等。</w:t>
      </w:r>
    </w:p>
    <w:p w14:paraId="3776A931">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客户对供应链服务价格合理性的满意度，包括对成本透明化、服务质量匹配、定制与差异化以及合同条款公平等。</w:t>
      </w:r>
    </w:p>
    <w:p w14:paraId="5C2A2FB8">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客户对信息透明度的满意度，包括对供应链运作中各个信息节点（如库存状态、订单进度、物流追踪、成本数据等）可见性与可获得性等方面的满意度。</w:t>
      </w:r>
    </w:p>
    <w:p w14:paraId="511E3D7E">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客户对供应链响应速度的满意度，包括对供应链各环节中的订单处理速度、采购与供应商响应速度、库存周转速度、物流运输速度以及供应链中各个系统（如ERP、CRM、WMS、TMS等）之间的数据传输和处理速度等方面的满意度。</w:t>
      </w:r>
    </w:p>
    <w:p w14:paraId="20739E9A">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客户对供应链个性化服务的满意度，包括根据需求开展的可变性、资源配置灵活性、风险应急管理能力、供应链韧性、绿色可持续发展能力等方面的满意度。</w:t>
      </w:r>
    </w:p>
    <w:p w14:paraId="2372C740">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客户对投诉处理能力的满意度，包括在建立投诉接收机制、投诉处理流程、处理时效、投诉反馈与跟踪、投诉预防与改进等方面的满意度。</w:t>
      </w:r>
    </w:p>
    <w:p w14:paraId="0DECA1FB">
      <w:pPr>
        <w:pStyle w:val="28"/>
        <w:spacing w:before="312" w:after="312"/>
        <w:rPr>
          <w:rFonts w:hint="eastAsia"/>
          <w:szCs w:val="21"/>
        </w:rPr>
      </w:pPr>
      <w:bookmarkStart w:id="104" w:name="_Toc708033662"/>
      <w:r>
        <w:rPr>
          <w:rFonts w:hint="eastAsia"/>
          <w:szCs w:val="21"/>
          <w:lang w:val="en-US" w:eastAsia="zh-CN"/>
        </w:rPr>
        <w:t>测评流程</w:t>
      </w:r>
      <w:bookmarkEnd w:id="104"/>
    </w:p>
    <w:p w14:paraId="68BA1444">
      <w:pPr>
        <w:pStyle w:val="29"/>
        <w:spacing w:before="156" w:after="156"/>
        <w:rPr>
          <w:lang w:eastAsia="zh-Hans"/>
        </w:rPr>
      </w:pPr>
      <w:bookmarkStart w:id="105" w:name="_Toc714869207"/>
      <w:bookmarkStart w:id="106" w:name="_Toc129721866"/>
      <w:bookmarkStart w:id="107" w:name="_Toc625316258"/>
      <w:bookmarkStart w:id="108" w:name="_Toc129633380"/>
      <w:bookmarkStart w:id="109" w:name="_Toc129593798"/>
      <w:bookmarkStart w:id="110" w:name="_Toc129466097"/>
      <w:r>
        <w:rPr>
          <w:rFonts w:hint="eastAsia"/>
          <w:lang w:val="en-US" w:eastAsia="zh-CN"/>
        </w:rPr>
        <w:t>测评方法</w:t>
      </w:r>
      <w:bookmarkEnd w:id="105"/>
    </w:p>
    <w:bookmarkEnd w:id="106"/>
    <w:bookmarkEnd w:id="107"/>
    <w:bookmarkEnd w:id="108"/>
    <w:bookmarkEnd w:id="109"/>
    <w:bookmarkEnd w:id="110"/>
    <w:p w14:paraId="3F82CE93">
      <w:pPr>
        <w:pStyle w:val="30"/>
        <w:numPr>
          <w:ilvl w:val="3"/>
          <w:numId w:val="3"/>
        </w:numPr>
        <w:rPr>
          <w:rFonts w:hint="eastAsia"/>
        </w:rPr>
      </w:pPr>
      <w:r>
        <w:rPr>
          <w:rFonts w:hint="eastAsia"/>
        </w:rPr>
        <w:t>问卷测评</w:t>
      </w:r>
    </w:p>
    <w:p w14:paraId="6689B7CA">
      <w:pPr>
        <w:pStyle w:val="30"/>
        <w:numPr>
          <w:ilvl w:val="0"/>
          <w:numId w:val="0"/>
        </w:numPr>
        <w:ind w:leftChars="0" w:firstLine="420" w:firstLineChars="200"/>
        <w:rPr>
          <w:rFonts w:hint="eastAsia"/>
        </w:rPr>
      </w:pPr>
      <w:r>
        <w:rPr>
          <w:rFonts w:hint="eastAsia"/>
        </w:rPr>
        <w:t>宜通过设计结构合理、问题明确、易于理解的问卷，大规模开展顾客满意度测评，收集反馈数据。</w:t>
      </w:r>
    </w:p>
    <w:p w14:paraId="46BA0A3A">
      <w:pPr>
        <w:pStyle w:val="30"/>
        <w:numPr>
          <w:ilvl w:val="0"/>
          <w:numId w:val="0"/>
        </w:numPr>
        <w:ind w:leftChars="0" w:firstLine="420" w:firstLineChars="200"/>
        <w:rPr>
          <w:rFonts w:hint="eastAsia"/>
        </w:rPr>
      </w:pPr>
      <w:r>
        <w:rPr>
          <w:rFonts w:hint="eastAsia"/>
        </w:rPr>
        <w:t>问卷内容宜覆盖满意度指标体系中的各个方面，包括但不限于服务质量、信息透明度、技术支持等。</w:t>
      </w:r>
    </w:p>
    <w:p w14:paraId="552FEE0D">
      <w:pPr>
        <w:pStyle w:val="30"/>
        <w:numPr>
          <w:ilvl w:val="0"/>
          <w:numId w:val="0"/>
        </w:numPr>
        <w:ind w:leftChars="0" w:firstLine="420" w:firstLineChars="200"/>
        <w:rPr>
          <w:rFonts w:hint="eastAsia"/>
        </w:rPr>
      </w:pPr>
      <w:r>
        <w:rPr>
          <w:rFonts w:hint="eastAsia"/>
        </w:rPr>
        <w:t>宜采用线上（如电子邮件、在线问卷平台）或线下（如纸质问卷、面对面调查）的方式进行问卷收集，提高问卷的回收率和有效性。</w:t>
      </w:r>
    </w:p>
    <w:p w14:paraId="7E4E3CF9">
      <w:pPr>
        <w:pStyle w:val="30"/>
        <w:numPr>
          <w:ilvl w:val="3"/>
          <w:numId w:val="3"/>
        </w:numPr>
        <w:rPr>
          <w:rFonts w:hint="eastAsia"/>
        </w:rPr>
      </w:pPr>
      <w:r>
        <w:rPr>
          <w:rFonts w:hint="eastAsia"/>
        </w:rPr>
        <w:t>深度访谈</w:t>
      </w:r>
    </w:p>
    <w:p w14:paraId="28458DA9">
      <w:pPr>
        <w:pStyle w:val="30"/>
        <w:numPr>
          <w:ilvl w:val="0"/>
          <w:numId w:val="0"/>
        </w:numPr>
        <w:ind w:leftChars="0" w:firstLine="420" w:firstLineChars="200"/>
        <w:rPr>
          <w:rFonts w:hint="eastAsia"/>
        </w:rPr>
      </w:pPr>
      <w:r>
        <w:rPr>
          <w:rFonts w:hint="eastAsia"/>
        </w:rPr>
        <w:t>宜在问卷调研结果的基础上，选择部分客户，通过面对面、电话、视频会议等交流方式，深入了解客户对供应链系统解决方案的实际使用感受及潜在需求。</w:t>
      </w:r>
    </w:p>
    <w:p w14:paraId="24515B32">
      <w:pPr>
        <w:pStyle w:val="30"/>
        <w:numPr>
          <w:ilvl w:val="3"/>
          <w:numId w:val="3"/>
        </w:numPr>
        <w:rPr>
          <w:rFonts w:hint="eastAsia"/>
        </w:rPr>
      </w:pPr>
      <w:r>
        <w:rPr>
          <w:rFonts w:hint="eastAsia"/>
        </w:rPr>
        <w:t>焦点小组讨论</w:t>
      </w:r>
    </w:p>
    <w:p w14:paraId="0AADF98F">
      <w:pPr>
        <w:pStyle w:val="30"/>
        <w:numPr>
          <w:ilvl w:val="0"/>
          <w:numId w:val="0"/>
        </w:numPr>
        <w:ind w:leftChars="0" w:firstLine="420" w:firstLineChars="200"/>
      </w:pPr>
      <w:r>
        <w:rPr>
          <w:rFonts w:hint="eastAsia"/>
        </w:rPr>
        <w:t>宜通过组织一群具有相似背景或需求的顾客进行讨论测评，集中了解客户共同关注点、意见分歧和潜在需求。</w:t>
      </w:r>
    </w:p>
    <w:p w14:paraId="6B74A1A9">
      <w:pPr>
        <w:pStyle w:val="29"/>
        <w:spacing w:before="156" w:after="156"/>
        <w:rPr>
          <w:rFonts w:hint="eastAsia" w:ascii="黑体" w:hAnsi="Times New Roman" w:eastAsia="黑体" w:cs="Times New Roman"/>
          <w:lang w:val="en-US" w:eastAsia="zh-CN"/>
        </w:rPr>
      </w:pPr>
      <w:bookmarkStart w:id="111" w:name="_Toc1783240731"/>
      <w:r>
        <w:rPr>
          <w:rFonts w:hint="eastAsia" w:ascii="黑体" w:hAnsi="Times New Roman" w:eastAsia="黑体" w:cs="Times New Roman"/>
          <w:lang w:val="en-US" w:eastAsia="zh-CN"/>
        </w:rPr>
        <w:t>数据收集</w:t>
      </w:r>
      <w:bookmarkEnd w:id="111"/>
    </w:p>
    <w:p w14:paraId="5A807D99">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宜制定详细的数据收集计划，明确收集流程，包括收集时间、收集方式（线上或线下）、收集渠道（如邮件、电话、访谈等）以及收集人员的培训，确保每位参与人员了解并遵循既定流程。</w:t>
      </w:r>
    </w:p>
    <w:p w14:paraId="0A65B6B9">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在收集数据前，应向客户明确告知数据收集的目的、范围、使用方式及保护措施，并征得客户同意。在数据收集过程中，应确保不泄露客户的敏感信息，如个人身份、商业机密等。</w:t>
      </w:r>
    </w:p>
    <w:p w14:paraId="1A683DD5">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对于问卷、访谈等收集方式，应确保收集到的数据完整无遗漏，对于缺失的数据，宜根据实际情况进行补充或剔除。</w:t>
      </w:r>
    </w:p>
    <w:p w14:paraId="3DD08466">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在数据收集后，宜对数据进行初步验证，检查数据的合理性、一致性和逻辑性，剔除明显错误的数据。</w:t>
      </w:r>
    </w:p>
    <w:p w14:paraId="39D24282">
      <w:pPr>
        <w:pStyle w:val="29"/>
        <w:spacing w:before="156" w:after="156"/>
        <w:rPr>
          <w:rFonts w:hint="eastAsia" w:ascii="黑体" w:hAnsi="Times New Roman" w:eastAsia="黑体" w:cs="Times New Roman"/>
          <w:lang w:val="en-US" w:eastAsia="zh-CN"/>
        </w:rPr>
      </w:pPr>
      <w:bookmarkStart w:id="112" w:name="_Toc645188385"/>
      <w:r>
        <w:rPr>
          <w:rFonts w:hint="eastAsia" w:ascii="黑体" w:hAnsi="Times New Roman" w:eastAsia="黑体" w:cs="Times New Roman"/>
          <w:lang w:val="en-US" w:eastAsia="zh-CN"/>
        </w:rPr>
        <w:t>数据清洗</w:t>
      </w:r>
      <w:bookmarkEnd w:id="112"/>
    </w:p>
    <w:p w14:paraId="32CAE573">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应根据预设的筛选条件（如问卷完成度、数据有效性等）筛选数据，剔除不符合要求的数据。</w:t>
      </w:r>
    </w:p>
    <w:p w14:paraId="55F283DC">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应检查数据中是否存在重复记录，对于重复的数据进行合并或删除，避免对后续分析产生干扰。</w:t>
      </w:r>
    </w:p>
    <w:p w14:paraId="7965C623">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应对于数据中的错误信息进行纠正，如打字错误、逻辑错误等。对于无法确定准确性的数据，可选择保留或标记为待查证。</w:t>
      </w:r>
    </w:p>
    <w:p w14:paraId="489AEB1C">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对于缺失的数据，宜根据实际情况选择合适的处理方法，如插值、删除或保留等。插值方法包括均值插值、中位数插值、回归插值等，宜根据数据特点和分析需求进行选择。</w:t>
      </w:r>
    </w:p>
    <w:p w14:paraId="1DEB7FBE">
      <w:pPr>
        <w:pStyle w:val="29"/>
        <w:spacing w:before="156" w:after="156"/>
        <w:rPr>
          <w:rFonts w:hint="eastAsia" w:ascii="黑体" w:hAnsi="Times New Roman" w:eastAsia="黑体" w:cs="Times New Roman"/>
          <w:lang w:val="en-US" w:eastAsia="zh-CN"/>
        </w:rPr>
      </w:pPr>
      <w:bookmarkStart w:id="113" w:name="_Toc1036252992"/>
      <w:r>
        <w:rPr>
          <w:rFonts w:hint="eastAsia" w:ascii="黑体" w:hAnsi="Times New Roman" w:eastAsia="黑体" w:cs="Times New Roman"/>
          <w:lang w:val="en-US" w:eastAsia="zh-CN"/>
        </w:rPr>
        <w:t>数据编码</w:t>
      </w:r>
      <w:bookmarkEnd w:id="113"/>
    </w:p>
    <w:p w14:paraId="506A8F58">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宜根据调研目的和满意度目标，制定详细的编码规则。编码规则需明确每个指标的分类标准、编码方式及注意事项。</w:t>
      </w:r>
    </w:p>
    <w:p w14:paraId="0C9E2521">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宜按照编码规则对文本数据进行逐一编码。编码过程中应保持客观、准确，避免主观臆断和误判。</w:t>
      </w:r>
    </w:p>
    <w:p w14:paraId="6753728E">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完成编码后，宜采用随机抽查、交叉校验等方式对编码结果进行校验，确保编码的准确性和一致性。</w:t>
      </w:r>
    </w:p>
    <w:p w14:paraId="16BCD252">
      <w:pPr>
        <w:pStyle w:val="29"/>
        <w:spacing w:before="156" w:after="156"/>
        <w:rPr>
          <w:rFonts w:hint="eastAsia" w:ascii="黑体" w:hAnsi="Times New Roman" w:eastAsia="黑体" w:cs="Times New Roman"/>
          <w:lang w:val="en-US" w:eastAsia="zh-CN"/>
        </w:rPr>
      </w:pPr>
      <w:bookmarkStart w:id="114" w:name="_Toc211659374"/>
      <w:r>
        <w:rPr>
          <w:rFonts w:hint="eastAsia" w:ascii="黑体" w:hAnsi="Times New Roman" w:eastAsia="黑体" w:cs="Times New Roman"/>
          <w:lang w:val="en-US" w:eastAsia="zh-CN"/>
        </w:rPr>
        <w:t>统计分析</w:t>
      </w:r>
      <w:bookmarkEnd w:id="114"/>
    </w:p>
    <w:p w14:paraId="5A51C9E6">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应根据收集到的数据，计算各项指标的平均值、标准差、中位数、众数等统计量。</w:t>
      </w:r>
    </w:p>
    <w:p w14:paraId="7D123726">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应利用图表（如柱状图、饼图、箱线图等）直观展示统计结果，便于理解和分析。</w:t>
      </w:r>
    </w:p>
    <w:p w14:paraId="7FEC3403">
      <w:pPr>
        <w:pStyle w:val="29"/>
        <w:spacing w:before="156" w:after="156"/>
        <w:rPr>
          <w:rFonts w:hint="eastAsia" w:ascii="黑体" w:hAnsi="Times New Roman" w:eastAsia="黑体" w:cs="Times New Roman"/>
          <w:lang w:val="en-US" w:eastAsia="zh-CN"/>
        </w:rPr>
      </w:pPr>
      <w:bookmarkStart w:id="115" w:name="_Toc1126179386"/>
      <w:r>
        <w:rPr>
          <w:rFonts w:hint="eastAsia" w:ascii="黑体" w:hAnsi="Times New Roman" w:eastAsia="黑体" w:cs="Times New Roman"/>
          <w:lang w:val="en-US" w:eastAsia="zh-CN"/>
        </w:rPr>
        <w:t>交叉分析</w:t>
      </w:r>
      <w:bookmarkEnd w:id="115"/>
    </w:p>
    <w:p w14:paraId="5908990D">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宜根据调研目的和满意度要求，确定需要交叉分析的维度，如客户群体（行业、规模、合作年限等）、功能模块（物流运输、库存管理、订单处理等）等。</w:t>
      </w:r>
    </w:p>
    <w:p w14:paraId="56E0C5E8">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宜利用统计软件构建交叉表，展示不同维度之间的满意度差异。</w:t>
      </w:r>
    </w:p>
    <w:p w14:paraId="063AE838">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宜根据交叉表的结果，分析不同群体或模块之间满意度差异的原因，提出针对性的改进建议。</w:t>
      </w:r>
    </w:p>
    <w:p w14:paraId="67C75EE8">
      <w:pPr>
        <w:pStyle w:val="29"/>
        <w:spacing w:before="156" w:after="156"/>
        <w:rPr>
          <w:rFonts w:hint="eastAsia" w:ascii="黑体" w:hAnsi="Times New Roman" w:eastAsia="黑体" w:cs="Times New Roman"/>
          <w:lang w:val="en-US" w:eastAsia="zh-CN"/>
        </w:rPr>
      </w:pPr>
      <w:bookmarkStart w:id="116" w:name="_Toc1923559491"/>
      <w:r>
        <w:rPr>
          <w:rFonts w:hint="eastAsia" w:ascii="黑体" w:hAnsi="Times New Roman" w:eastAsia="黑体" w:cs="Times New Roman"/>
          <w:lang w:val="en-US" w:eastAsia="zh-CN"/>
        </w:rPr>
        <w:t>重要性-满意度分析（IPA）</w:t>
      </w:r>
      <w:bookmarkEnd w:id="116"/>
    </w:p>
    <w:p w14:paraId="3EBC610B">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应通过问卷调查、专家评估等方式，确定各项指标的重要性权重。</w:t>
      </w:r>
    </w:p>
    <w:p w14:paraId="4CAFAA0E">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应以满意度水平为横轴，重要性为纵轴，绘制IPA图，将各项指标按照其重要性和满意度水平的高低进行定位。</w:t>
      </w:r>
    </w:p>
    <w:p w14:paraId="04E93F27">
      <w:pPr>
        <w:pStyle w:val="30"/>
        <w:numPr>
          <w:ilvl w:val="3"/>
          <w:numId w:val="3"/>
        </w:numPr>
        <w:outlineLvl w:val="9"/>
        <w:rPr>
          <w:rFonts w:hint="eastAsia" w:ascii="宋体" w:hAnsi="Times New Roman" w:eastAsia="宋体" w:cs="Times New Roman"/>
        </w:rPr>
      </w:pPr>
      <w:r>
        <w:rPr>
          <w:rFonts w:hint="eastAsia" w:ascii="宋体" w:hAnsi="Times New Roman" w:eastAsia="宋体" w:cs="Times New Roman"/>
        </w:rPr>
        <w:t>宜根据IPA图的结果，将指标分为四个象限（高重要性高满意度、高重要性低满意度、低重要性高满意度、低重要性低满意度），确定不同象限内指标的改进优先级。</w:t>
      </w:r>
    </w:p>
    <w:p w14:paraId="253D1BDE">
      <w:pPr>
        <w:pStyle w:val="28"/>
        <w:spacing w:before="312" w:after="312"/>
        <w:rPr>
          <w:rFonts w:hint="eastAsia" w:ascii="黑体" w:hAnsi="Times New Roman" w:eastAsia="黑体" w:cs="Times New Roman"/>
          <w:szCs w:val="21"/>
          <w:lang w:val="en-US" w:eastAsia="zh-CN"/>
        </w:rPr>
      </w:pPr>
      <w:bookmarkStart w:id="117" w:name="_Toc1045543299"/>
      <w:r>
        <w:rPr>
          <w:rFonts w:hint="eastAsia" w:ascii="黑体" w:hAnsi="Times New Roman" w:eastAsia="黑体" w:cs="Times New Roman"/>
          <w:szCs w:val="21"/>
          <w:lang w:val="en-US" w:eastAsia="zh-CN"/>
        </w:rPr>
        <w:t>设定满意度改进标准</w:t>
      </w:r>
      <w:bookmarkEnd w:id="117"/>
    </w:p>
    <w:p w14:paraId="7E34258B">
      <w:pPr>
        <w:pStyle w:val="29"/>
        <w:spacing w:before="156" w:after="156"/>
        <w:rPr>
          <w:rFonts w:hint="eastAsia" w:ascii="黑体" w:hAnsi="Times New Roman" w:eastAsia="黑体" w:cs="Times New Roman"/>
          <w:lang w:val="en-US" w:eastAsia="zh-CN"/>
        </w:rPr>
      </w:pPr>
      <w:bookmarkStart w:id="118" w:name="_Toc1735026539"/>
      <w:r>
        <w:rPr>
          <w:rFonts w:hint="eastAsia" w:ascii="黑体" w:hAnsi="Times New Roman" w:eastAsia="黑体" w:cs="Times New Roman"/>
          <w:lang w:val="en-US" w:eastAsia="zh-CN"/>
        </w:rPr>
        <w:t>宜充分调研并分析行业内其他企业的顾客满意度标准和实际水平，了解行业内的最佳实践和普遍标准。</w:t>
      </w:r>
      <w:bookmarkEnd w:id="118"/>
    </w:p>
    <w:p w14:paraId="0591FEB9">
      <w:pPr>
        <w:pStyle w:val="29"/>
        <w:spacing w:before="156" w:after="156"/>
        <w:rPr>
          <w:rFonts w:hint="eastAsia" w:ascii="黑体" w:hAnsi="Times New Roman" w:eastAsia="黑体" w:cs="Times New Roman"/>
          <w:lang w:val="en-US" w:eastAsia="zh-CN"/>
        </w:rPr>
      </w:pPr>
      <w:bookmarkStart w:id="119" w:name="_Toc2058082007"/>
      <w:r>
        <w:rPr>
          <w:rFonts w:hint="eastAsia" w:ascii="黑体" w:hAnsi="Times New Roman" w:eastAsia="黑体" w:cs="Times New Roman"/>
          <w:lang w:val="en-US" w:eastAsia="zh-CN"/>
        </w:rPr>
        <w:t>宜结合企业自身业务特点、服务质量、顾客需求和企业战略目标，确定满意度改进标准，确保合理性和可操作性。</w:t>
      </w:r>
      <w:bookmarkEnd w:id="119"/>
    </w:p>
    <w:p w14:paraId="1B9ADDA8">
      <w:pPr>
        <w:pStyle w:val="29"/>
        <w:spacing w:before="156" w:after="156"/>
        <w:rPr>
          <w:rFonts w:hint="eastAsia" w:ascii="黑体" w:hAnsi="Times New Roman" w:eastAsia="黑体" w:cs="Times New Roman"/>
          <w:lang w:val="en-US" w:eastAsia="zh-CN"/>
        </w:rPr>
      </w:pPr>
      <w:bookmarkStart w:id="120" w:name="_Toc665189420"/>
      <w:r>
        <w:rPr>
          <w:rFonts w:hint="eastAsia" w:ascii="黑体" w:hAnsi="Times New Roman" w:eastAsia="黑体" w:cs="Times New Roman"/>
          <w:lang w:val="en-US" w:eastAsia="zh-CN"/>
        </w:rPr>
        <w:t>满意度改进标准包括量化指标（如满意度评分的具体数值范围）和定性描述（如服务响应速度、问题解决效率等），对于不同客户群体或功能模块，宜设定差异化的满意度标准，以更好地满足特定需求。</w:t>
      </w:r>
      <w:bookmarkEnd w:id="120"/>
    </w:p>
    <w:p w14:paraId="1FEAC4E1">
      <w:pPr>
        <w:pStyle w:val="29"/>
        <w:spacing w:before="156" w:after="156"/>
        <w:rPr>
          <w:rFonts w:hint="eastAsia" w:ascii="宋体" w:hAnsi="Times New Roman" w:eastAsia="宋体" w:cs="Times New Roman"/>
        </w:rPr>
      </w:pPr>
      <w:bookmarkStart w:id="121" w:name="_Toc38715658"/>
      <w:r>
        <w:rPr>
          <w:rFonts w:hint="eastAsia" w:ascii="黑体" w:hAnsi="Times New Roman" w:eastAsia="黑体" w:cs="Times New Roman"/>
          <w:lang w:val="en-US" w:eastAsia="zh-CN"/>
        </w:rPr>
        <w:t>满意度改进标准内容宜随着市场环境、技术发展和顾客需求的变化，定期进行调整优化，确保与企业战略目标和顾客期望保持一致。</w:t>
      </w:r>
      <w:bookmarkEnd w:id="121"/>
    </w:p>
    <w:p w14:paraId="24B91A91">
      <w:pPr>
        <w:pStyle w:val="28"/>
        <w:spacing w:before="312" w:after="312"/>
        <w:rPr>
          <w:rFonts w:hint="eastAsia" w:ascii="黑体" w:hAnsi="Times New Roman" w:eastAsia="黑体" w:cs="Times New Roman"/>
          <w:szCs w:val="21"/>
          <w:lang w:val="en-US" w:eastAsia="zh-CN"/>
        </w:rPr>
      </w:pPr>
      <w:bookmarkStart w:id="122" w:name="_Toc6518965"/>
      <w:r>
        <w:rPr>
          <w:rFonts w:hint="eastAsia" w:ascii="黑体" w:hAnsi="Times New Roman" w:eastAsia="黑体" w:cs="Times New Roman"/>
          <w:szCs w:val="21"/>
          <w:lang w:val="en-US" w:eastAsia="zh-CN"/>
        </w:rPr>
        <w:t>培训与改进机制</w:t>
      </w:r>
      <w:bookmarkEnd w:id="122"/>
    </w:p>
    <w:p w14:paraId="016E869F">
      <w:pPr>
        <w:pStyle w:val="29"/>
        <w:spacing w:before="156" w:after="156"/>
        <w:rPr>
          <w:rFonts w:hint="eastAsia" w:ascii="黑体" w:hAnsi="Times New Roman" w:eastAsia="黑体" w:cs="Times New Roman"/>
          <w:lang w:val="en-US" w:eastAsia="zh-CN"/>
        </w:rPr>
      </w:pPr>
      <w:bookmarkStart w:id="123" w:name="_Toc42578758"/>
      <w:r>
        <w:rPr>
          <w:rFonts w:hint="eastAsia" w:ascii="黑体" w:hAnsi="Times New Roman" w:eastAsia="黑体" w:cs="Times New Roman"/>
          <w:lang w:val="en-US" w:eastAsia="zh-CN"/>
        </w:rPr>
        <w:t>宜将设定的满意度改进标准与相关部门和人员进行沟通和培训，确保他们了解并认同这些标准。</w:t>
      </w:r>
      <w:bookmarkEnd w:id="123"/>
    </w:p>
    <w:p w14:paraId="5C254C28">
      <w:pPr>
        <w:pStyle w:val="29"/>
        <w:spacing w:before="156" w:after="156"/>
        <w:rPr>
          <w:rFonts w:hint="eastAsia" w:ascii="黑体" w:hAnsi="Times New Roman" w:eastAsia="黑体" w:cs="Times New Roman"/>
          <w:lang w:val="en-US" w:eastAsia="zh-CN"/>
        </w:rPr>
      </w:pPr>
      <w:bookmarkStart w:id="124" w:name="_Toc509131255"/>
      <w:r>
        <w:rPr>
          <w:rFonts w:hint="eastAsia" w:ascii="黑体" w:hAnsi="Times New Roman" w:eastAsia="黑体" w:cs="Times New Roman"/>
          <w:lang w:val="en-US" w:eastAsia="zh-CN"/>
        </w:rPr>
        <w:t>宜采取各种方式鼓励员工积极参与顾客满意度提升工作，将标准转化为实际行动和改进措施。</w:t>
      </w:r>
      <w:bookmarkEnd w:id="124"/>
    </w:p>
    <w:p w14:paraId="348C7265">
      <w:pPr>
        <w:pStyle w:val="29"/>
        <w:spacing w:before="156" w:after="156"/>
        <w:rPr>
          <w:rFonts w:hint="eastAsia" w:ascii="黑体" w:hAnsi="Times New Roman" w:eastAsia="黑体" w:cs="Times New Roman"/>
          <w:lang w:val="en-US" w:eastAsia="zh-CN"/>
        </w:rPr>
      </w:pPr>
      <w:bookmarkStart w:id="125" w:name="_Toc1394153137"/>
      <w:r>
        <w:rPr>
          <w:rFonts w:hint="eastAsia" w:ascii="黑体" w:hAnsi="Times New Roman" w:eastAsia="黑体" w:cs="Times New Roman"/>
          <w:lang w:val="en-US" w:eastAsia="zh-CN"/>
        </w:rPr>
        <w:t>宜建立相应的激励机制，如奖励制度、晋升机制等，激励员工持续改进和提升顾客满意度。</w:t>
      </w:r>
      <w:bookmarkEnd w:id="125"/>
    </w:p>
    <w:p w14:paraId="4B8BAD59">
      <w:pPr>
        <w:pStyle w:val="29"/>
        <w:spacing w:before="156" w:after="156"/>
        <w:rPr>
          <w:rFonts w:hint="eastAsia" w:ascii="宋体" w:hAnsi="Times New Roman" w:eastAsia="宋体" w:cs="Times New Roman"/>
        </w:rPr>
      </w:pPr>
      <w:bookmarkStart w:id="126" w:name="_Toc337701142"/>
      <w:r>
        <w:rPr>
          <w:rFonts w:hint="eastAsia" w:ascii="黑体" w:hAnsi="Times New Roman" w:eastAsia="黑体" w:cs="Times New Roman"/>
          <w:lang w:val="en-US" w:eastAsia="zh-CN"/>
        </w:rPr>
        <w:t>宜将顾客满意度与员工绩效挂钩，激发员工的积极性和创造力，推动供应链服务质量持续提升。</w:t>
      </w:r>
      <w:bookmarkEnd w:id="126"/>
    </w:p>
    <w:p w14:paraId="1C3F8B8E">
      <w:pPr>
        <w:tabs>
          <w:tab w:val="left" w:pos="720"/>
        </w:tabs>
      </w:pPr>
    </w:p>
    <w:sectPr>
      <w:headerReference r:id="rId10" w:type="default"/>
      <w:footerReference r:id="rId11"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宋体-简"/>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黑体-简"/>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AppleSystemUIFontBold">
    <w:panose1 w:val="02000503000000020004"/>
    <w:charset w:val="00"/>
    <w:family w:val="auto"/>
    <w:pitch w:val="default"/>
    <w:sig w:usb0="E50002FF" w:usb1="500079DB" w:usb2="00000010" w:usb3="00000000" w:csb0="00000000" w:csb1="00000000"/>
  </w:font>
  <w:font w:name="MS Mincho">
    <w:altName w:val="Hiragino Sans"/>
    <w:panose1 w:val="02020609040205080304"/>
    <w:charset w:val="00"/>
    <w:family w:val="modern"/>
    <w:pitch w:val="default"/>
    <w:sig w:usb0="00000000" w:usb1="00000000" w:usb2="00000010" w:usb3="00000000" w:csb0="0002009F" w:csb1="00000000"/>
  </w:font>
  <w:font w:name="Times New Roman Regular">
    <w:panose1 w:val="02020503050405090304"/>
    <w:charset w:val="00"/>
    <w:family w:val="auto"/>
    <w:pitch w:val="default"/>
    <w:sig w:usb0="E0000AFF" w:usb1="00007843" w:usb2="00000001" w:usb3="00000000" w:csb0="400001BF" w:csb1="DFF70000"/>
  </w:font>
  <w:font w:name="宋体-简">
    <w:panose1 w:val="02010800040101010101"/>
    <w:charset w:val="86"/>
    <w:family w:val="auto"/>
    <w:pitch w:val="default"/>
    <w:sig w:usb0="00000001" w:usb1="080F0000" w:usb2="00000000" w:usb3="00000000" w:csb0="00040000" w:csb1="00000000"/>
  </w:font>
  <w:font w:name="黑体-简">
    <w:panose1 w:val="02000000000000000000"/>
    <w:charset w:val="86"/>
    <w:family w:val="auto"/>
    <w:pitch w:val="default"/>
    <w:sig w:usb0="8000002F" w:usb1="0800004A" w:usb2="00000000" w:usb3="00000000" w:csb0="203E0000" w:csb1="00000000"/>
  </w:font>
  <w:font w:name="Helvetica Neue">
    <w:panose1 w:val="02000503000000020004"/>
    <w:charset w:val="00"/>
    <w:family w:val="auto"/>
    <w:pitch w:val="default"/>
    <w:sig w:usb0="E50002FF" w:usb1="500079DB" w:usb2="00000010" w:usb3="00000000" w:csb0="00000000" w:csb1="00000000"/>
  </w:font>
  <w:font w:name="Hiragino Sans">
    <w:panose1 w:val="020B0300000000000000"/>
    <w:charset w:val="80"/>
    <w:family w:val="auto"/>
    <w:pitch w:val="default"/>
    <w:sig w:usb0="E00002FF" w:usb1="7AE7FFFF" w:usb2="00000012" w:usb3="00000000" w:csb0="0002000D"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61464">
    <w:pPr>
      <w:pStyle w:val="5"/>
      <w:ind w:right="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403E5">
    <w:pPr>
      <w:pStyle w:val="5"/>
      <w:ind w:right="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9B50A">
    <w:pPr>
      <w:pStyle w:val="5"/>
      <w:ind w:right="2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28004">
    <w:pPr>
      <w:pStyle w:val="2"/>
      <w:spacing w:line="14" w:lineRule="auto"/>
      <w:rPr>
        <w:rFonts w:hint="default"/>
        <w:sz w:val="1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A19C2">
    <w:pPr>
      <w:pStyle w:val="2"/>
      <w:spacing w:line="14" w:lineRule="auto"/>
      <w:rPr>
        <w:rFonts w:hint="default"/>
        <w:sz w:val="14"/>
      </w:rPr>
    </w:pPr>
    <w:r>
      <w:rPr>
        <w:sz w:val="1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E4B72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6E4B72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22351">
    <w:pPr>
      <w:widowControl w:val="0"/>
      <w:tabs>
        <w:tab w:val="center" w:pos="4153"/>
        <w:tab w:val="right" w:pos="8306"/>
      </w:tabs>
      <w:snapToGrid w:val="0"/>
      <w:jc w:val="center"/>
      <w:rPr>
        <w:rFonts w:ascii="Calibri" w:hAnsi="Calibri" w:eastAsia="宋体" w:cs="Times New Roman"/>
        <w:kern w:val="2"/>
        <w:sz w:val="18"/>
        <w:szCs w:val="18"/>
        <w:lang w:val="en-US" w:eastAsia="zh-CN" w:bidi="ar-SA"/>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3F5FEB">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D3F5FEB">
                    <w:pPr>
                      <w:pStyle w:val="5"/>
                    </w:pPr>
                    <w:r>
                      <w:fldChar w:fldCharType="begin"/>
                    </w:r>
                    <w:r>
                      <w:instrText xml:space="preserve"> PAGE  \* MERGEFORMAT </w:instrText>
                    </w:r>
                    <w:r>
                      <w:fldChar w:fldCharType="separate"/>
                    </w:r>
                    <w:r>
                      <w:t>3</w:t>
                    </w:r>
                    <w:r>
                      <w:fldChar w:fldCharType="end"/>
                    </w:r>
                  </w:p>
                </w:txbxContent>
              </v:textbox>
            </v:shape>
          </w:pict>
        </mc:Fallback>
      </mc:AlternateContent>
    </w:r>
  </w:p>
  <w:p w14:paraId="27016FCD">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86D21">
    <w:pPr>
      <w:widowControl w:val="0"/>
      <w:autoSpaceDE w:val="0"/>
      <w:autoSpaceDN w:val="0"/>
      <w:spacing w:line="14" w:lineRule="auto"/>
      <w:ind w:firstLine="720"/>
      <w:rPr>
        <w:rFonts w:hint="default" w:ascii="宋体" w:hAnsi="宋体" w:eastAsia="宋体" w:cs="Times New Roman"/>
        <w:sz w:val="20"/>
        <w:szCs w:val="21"/>
        <w:lang w:val="en-US" w:eastAsia="zh-CN" w:bidi="ar-SA"/>
      </w:rPr>
    </w:pPr>
    <w:r>
      <w:rPr>
        <w:rFonts w:hint="default" w:ascii="宋体" w:hAnsi="宋体" w:eastAsia="宋体" w:cs="Times New Roman"/>
        <w:sz w:val="21"/>
        <w:szCs w:val="21"/>
        <w:lang w:val="en-US" w:eastAsia="zh-CN" w:bidi="ar-SA"/>
      </w:rPr>
      <mc:AlternateContent>
        <mc:Choice Requires="wps">
          <w:drawing>
            <wp:anchor distT="0" distB="0" distL="114300" distR="114300" simplePos="0" relativeHeight="251660288" behindDoc="1" locked="0" layoutInCell="1" allowOverlap="1">
              <wp:simplePos x="0" y="0"/>
              <wp:positionH relativeFrom="page">
                <wp:posOffset>6148070</wp:posOffset>
              </wp:positionH>
              <wp:positionV relativeFrom="page">
                <wp:posOffset>740410</wp:posOffset>
              </wp:positionV>
              <wp:extent cx="1094105" cy="173990"/>
              <wp:effectExtent l="0" t="0" r="0" b="0"/>
              <wp:wrapNone/>
              <wp:docPr id="1" name="文本框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TextEdit="1"/>
                    </wps:cNvSpPr>
                    <wps:spPr>
                      <a:xfrm>
                        <a:off x="0" y="0"/>
                        <a:ext cx="1094105" cy="173990"/>
                      </a:xfrm>
                      <a:prstGeom prst="rect">
                        <a:avLst/>
                      </a:prstGeom>
                      <a:noFill/>
                      <a:ln>
                        <a:noFill/>
                      </a:ln>
                    </wps:spPr>
                    <wps:txbx>
                      <w:txbxContent>
                        <w:p w14:paraId="56641BAF">
                          <w:pPr>
                            <w:widowControl w:val="0"/>
                            <w:autoSpaceDE w:val="0"/>
                            <w:autoSpaceDN w:val="0"/>
                            <w:spacing w:line="267" w:lineRule="exact"/>
                            <w:ind w:left="20" w:firstLine="720"/>
                            <w:rPr>
                              <w:rFonts w:hint="default" w:ascii="黑体" w:hAnsi="黑体" w:eastAsia="宋体" w:cs="Times New Roman"/>
                              <w:sz w:val="21"/>
                              <w:szCs w:val="21"/>
                              <w:lang w:val="en-US" w:eastAsia="zh-CN" w:bidi="ar-SA"/>
                            </w:rPr>
                          </w:pPr>
                          <w:r>
                            <w:rPr>
                              <w:rFonts w:hint="eastAsia" w:ascii="黑体" w:hAnsi="黑体" w:eastAsia="宋体" w:cs="Times New Roman"/>
                              <w:sz w:val="21"/>
                              <w:szCs w:val="21"/>
                              <w:lang w:val="en-US" w:eastAsia="zh-CN" w:bidi="ar-SA"/>
                            </w:rPr>
                            <w:t>T/ZJ</w:t>
                          </w:r>
                          <w:r>
                            <w:rPr>
                              <w:rFonts w:hint="default" w:ascii="黑体" w:hAnsi="黑体" w:eastAsia="宋体" w:cs="Times New Roman"/>
                              <w:sz w:val="21"/>
                              <w:szCs w:val="21"/>
                              <w:lang w:val="en-US" w:eastAsia="zh-CN" w:bidi="ar-SA"/>
                            </w:rPr>
                            <w:t>WL</w:t>
                          </w:r>
                        </w:p>
                      </w:txbxContent>
                    </wps:txbx>
                    <wps:bodyPr lIns="0" tIns="0" rIns="0" bIns="0" upright="1"/>
                  </wps:wsp>
                </a:graphicData>
              </a:graphic>
            </wp:anchor>
          </w:drawing>
        </mc:Choice>
        <mc:Fallback>
          <w:pict>
            <v:shape id="_x0000_s1026" o:spid="_x0000_s1026" o:spt="202" type="#_x0000_t202" style="position:absolute;left:0pt;margin-left:484.1pt;margin-top:58.3pt;height:13.7pt;width:86.15pt;mso-position-horizontal-relative:page;mso-position-vertical-relative:page;z-index:-251656192;mso-width-relative:page;mso-height-relative:page;" filled="f" stroked="f" coordsize="21600,21600" o:gfxdata="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5Wzj12gAAAAwBAAAPAAAAAAAA&#10;AAEAIAAAACIAAABkcnMvZG93bnJldi54bWxQSwECFAAUAAAACACHTuJAXeMRmdcBAACtAwAADgAA&#10;AAAAAAABACAAAAApAQAAZHJzL2Uyb0RvYy54bWxQSwUGAAAAAAYABgBZAQAAcgUAAAAA&#10;">
              <v:fill on="f" focussize="0,0"/>
              <v:stroke on="f"/>
              <v:imagedata o:title=""/>
              <o:lock v:ext="edit" text="t" aspectratio="t"/>
              <v:textbox inset="0mm,0mm,0mm,0mm">
                <w:txbxContent>
                  <w:p w14:paraId="56641BAF">
                    <w:pPr>
                      <w:widowControl w:val="0"/>
                      <w:autoSpaceDE w:val="0"/>
                      <w:autoSpaceDN w:val="0"/>
                      <w:spacing w:line="267" w:lineRule="exact"/>
                      <w:ind w:left="20" w:firstLine="720"/>
                      <w:rPr>
                        <w:rFonts w:hint="default" w:ascii="黑体" w:hAnsi="黑体" w:eastAsia="宋体" w:cs="Times New Roman"/>
                        <w:sz w:val="21"/>
                        <w:szCs w:val="21"/>
                        <w:lang w:val="en-US" w:eastAsia="zh-CN" w:bidi="ar-SA"/>
                      </w:rPr>
                    </w:pPr>
                    <w:r>
                      <w:rPr>
                        <w:rFonts w:hint="eastAsia" w:ascii="黑体" w:hAnsi="黑体" w:eastAsia="宋体" w:cs="Times New Roman"/>
                        <w:sz w:val="21"/>
                        <w:szCs w:val="21"/>
                        <w:lang w:val="en-US" w:eastAsia="zh-CN" w:bidi="ar-SA"/>
                      </w:rPr>
                      <w:t>T/ZJ</w:t>
                    </w:r>
                    <w:r>
                      <w:rPr>
                        <w:rFonts w:hint="default" w:ascii="黑体" w:hAnsi="黑体" w:eastAsia="宋体" w:cs="Times New Roman"/>
                        <w:sz w:val="21"/>
                        <w:szCs w:val="21"/>
                        <w:lang w:val="en-US" w:eastAsia="zh-CN" w:bidi="ar-SA"/>
                      </w:rPr>
                      <w:t>WL</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059E2">
    <w:pPr>
      <w:pStyle w:val="2"/>
      <w:spacing w:line="14" w:lineRule="auto"/>
      <w:ind w:firstLine="720"/>
      <w:rPr>
        <w:rFonts w:hint="default"/>
        <w:sz w:val="20"/>
      </w:rPr>
    </w:pPr>
    <w:r>
      <w:rPr>
        <w:rFonts w:hint="default"/>
      </w:rPr>
      <mc:AlternateContent>
        <mc:Choice Requires="wps">
          <w:drawing>
            <wp:anchor distT="0" distB="0" distL="114300" distR="114300" simplePos="0" relativeHeight="251659264" behindDoc="1" locked="0" layoutInCell="1" allowOverlap="1">
              <wp:simplePos x="0" y="0"/>
              <wp:positionH relativeFrom="page">
                <wp:posOffset>6148070</wp:posOffset>
              </wp:positionH>
              <wp:positionV relativeFrom="page">
                <wp:posOffset>740410</wp:posOffset>
              </wp:positionV>
              <wp:extent cx="1094105" cy="173990"/>
              <wp:effectExtent l="0" t="0" r="0" b="0"/>
              <wp:wrapNone/>
              <wp:docPr id="11" name="文本框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TextEdit="1"/>
                    </wps:cNvSpPr>
                    <wps:spPr>
                      <a:xfrm>
                        <a:off x="0" y="0"/>
                        <a:ext cx="1094105" cy="173990"/>
                      </a:xfrm>
                      <a:prstGeom prst="rect">
                        <a:avLst/>
                      </a:prstGeom>
                      <a:noFill/>
                      <a:ln>
                        <a:noFill/>
                      </a:ln>
                    </wps:spPr>
                    <wps:txbx>
                      <w:txbxContent>
                        <w:p w14:paraId="49EB8A03">
                          <w:pPr>
                            <w:pStyle w:val="2"/>
                            <w:spacing w:line="267" w:lineRule="exact"/>
                            <w:ind w:left="20" w:firstLine="720"/>
                            <w:rPr>
                              <w:rFonts w:hint="default" w:ascii="黑体" w:hAnsi="黑体"/>
                            </w:rPr>
                          </w:pPr>
                          <w:r>
                            <w:rPr>
                              <w:rFonts w:ascii="黑体" w:hAnsi="黑体"/>
                            </w:rPr>
                            <w:t>T/ZJ</w:t>
                          </w:r>
                          <w:r>
                            <w:rPr>
                              <w:rFonts w:hint="default" w:ascii="黑体" w:hAnsi="黑体"/>
                            </w:rPr>
                            <w:t>WL</w:t>
                          </w:r>
                        </w:p>
                      </w:txbxContent>
                    </wps:txbx>
                    <wps:bodyPr lIns="0" tIns="0" rIns="0" bIns="0" upright="1"/>
                  </wps:wsp>
                </a:graphicData>
              </a:graphic>
            </wp:anchor>
          </w:drawing>
        </mc:Choice>
        <mc:Fallback>
          <w:pict>
            <v:shape id="_x0000_s1026" o:spid="_x0000_s1026" o:spt="202" type="#_x0000_t202" style="position:absolute;left:0pt;margin-left:484.1pt;margin-top:58.3pt;height:13.7pt;width:86.15pt;mso-position-horizontal-relative:page;mso-position-vertical-relative:page;z-index:-251657216;mso-width-relative:page;mso-height-relative:page;" filled="f" stroked="f" coordsize="21600,21600" o:gfxdata="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lbOPXaAAAADAEAAA8AAAAA&#10;AAAAAQAgAAAAIgAAAGRycy9kb3ducmV2LnhtbFBLAQIUABQAAAAIAIdO4kBwASCv2QEAAK8DAAAO&#10;AAAAAAAAAAEAIAAAACkBAABkcnMvZTJvRG9jLnhtbFBLBQYAAAAABgAGAFkBAAB0BQAAAAA=&#10;">
              <v:fill on="f" focussize="0,0"/>
              <v:stroke on="f"/>
              <v:imagedata o:title=""/>
              <o:lock v:ext="edit" text="t" aspectratio="t"/>
              <v:textbox inset="0mm,0mm,0mm,0mm">
                <w:txbxContent>
                  <w:p w14:paraId="49EB8A03">
                    <w:pPr>
                      <w:pStyle w:val="2"/>
                      <w:spacing w:line="267" w:lineRule="exact"/>
                      <w:ind w:left="20" w:firstLine="720"/>
                      <w:rPr>
                        <w:rFonts w:hint="default" w:ascii="黑体" w:hAnsi="黑体"/>
                      </w:rPr>
                    </w:pPr>
                    <w:r>
                      <w:rPr>
                        <w:rFonts w:ascii="黑体" w:hAnsi="黑体"/>
                      </w:rPr>
                      <w:t>T/ZJ</w:t>
                    </w:r>
                    <w:r>
                      <w:rPr>
                        <w:rFonts w:hint="default" w:ascii="黑体" w:hAnsi="黑体"/>
                      </w:rPr>
                      <w:t>WL</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A009B">
    <w:pPr>
      <w:pStyle w:val="2"/>
      <w:spacing w:line="14" w:lineRule="auto"/>
      <w:ind w:firstLine="720"/>
      <w:rPr>
        <w:rFonts w:hint="default"/>
        <w:sz w:val="20"/>
      </w:rPr>
    </w:pPr>
    <w:r>
      <w:rPr>
        <w:rFonts w:hint="default"/>
      </w:rPr>
      <mc:AlternateContent>
        <mc:Choice Requires="wps">
          <w:drawing>
            <wp:anchor distT="0" distB="0" distL="114300" distR="114300" simplePos="0" relativeHeight="251662336" behindDoc="1" locked="0" layoutInCell="1" allowOverlap="1">
              <wp:simplePos x="0" y="0"/>
              <wp:positionH relativeFrom="page">
                <wp:posOffset>6148070</wp:posOffset>
              </wp:positionH>
              <wp:positionV relativeFrom="page">
                <wp:posOffset>740410</wp:posOffset>
              </wp:positionV>
              <wp:extent cx="1094105" cy="173990"/>
              <wp:effectExtent l="0" t="0" r="0" b="0"/>
              <wp:wrapNone/>
              <wp:docPr id="3" name="文本框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TextEdit="1"/>
                    </wps:cNvSpPr>
                    <wps:spPr>
                      <a:xfrm>
                        <a:off x="0" y="0"/>
                        <a:ext cx="1094105" cy="173990"/>
                      </a:xfrm>
                      <a:prstGeom prst="rect">
                        <a:avLst/>
                      </a:prstGeom>
                      <a:noFill/>
                      <a:ln>
                        <a:noFill/>
                      </a:ln>
                    </wps:spPr>
                    <wps:txbx>
                      <w:txbxContent>
                        <w:p w14:paraId="719D1B88">
                          <w:pPr>
                            <w:pStyle w:val="2"/>
                            <w:spacing w:line="267" w:lineRule="exact"/>
                            <w:ind w:left="20" w:firstLine="720"/>
                            <w:rPr>
                              <w:rFonts w:hint="default" w:ascii="黑体" w:hAnsi="黑体"/>
                            </w:rPr>
                          </w:pPr>
                          <w:r>
                            <w:rPr>
                              <w:rFonts w:ascii="黑体" w:hAnsi="黑体"/>
                            </w:rPr>
                            <w:t>T/ZJ</w:t>
                          </w:r>
                          <w:r>
                            <w:rPr>
                              <w:rFonts w:hint="default" w:ascii="黑体" w:hAnsi="黑体"/>
                            </w:rPr>
                            <w:t>WL</w:t>
                          </w:r>
                        </w:p>
                      </w:txbxContent>
                    </wps:txbx>
                    <wps:bodyPr lIns="0" tIns="0" rIns="0" bIns="0" upright="1"/>
                  </wps:wsp>
                </a:graphicData>
              </a:graphic>
            </wp:anchor>
          </w:drawing>
        </mc:Choice>
        <mc:Fallback>
          <w:pict>
            <v:shape id="_x0000_s1026" o:spid="_x0000_s1026" o:spt="202" type="#_x0000_t202" style="position:absolute;left:0pt;margin-left:484.1pt;margin-top:58.3pt;height:13.7pt;width:86.15pt;mso-position-horizontal-relative:page;mso-position-vertical-relative:page;z-index:-251654144;mso-width-relative:page;mso-height-relative:page;" filled="f" stroked="f" coordsize="21600,21600" o:gfxdata="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lbOPXaAAAADAEAAA8AAAAA&#10;AAAAAQAgAAAAIgAAAGRycy9kb3ducmV2LnhtbFBLAQIUABQAAAAIAIdO4kApSVd22QEAAK0DAAAO&#10;AAAAAAAAAAEAIAAAACkBAABkcnMvZTJvRG9jLnhtbFBLBQYAAAAABgAGAFkBAAB0BQAAAAA=&#10;">
              <v:fill on="f" focussize="0,0"/>
              <v:stroke on="f"/>
              <v:imagedata o:title=""/>
              <o:lock v:ext="edit" text="t" aspectratio="t"/>
              <v:textbox inset="0mm,0mm,0mm,0mm">
                <w:txbxContent>
                  <w:p w14:paraId="719D1B88">
                    <w:pPr>
                      <w:pStyle w:val="2"/>
                      <w:spacing w:line="267" w:lineRule="exact"/>
                      <w:ind w:left="20" w:firstLine="720"/>
                      <w:rPr>
                        <w:rFonts w:hint="default" w:ascii="黑体" w:hAnsi="黑体"/>
                      </w:rPr>
                    </w:pPr>
                    <w:r>
                      <w:rPr>
                        <w:rFonts w:ascii="黑体" w:hAnsi="黑体"/>
                      </w:rPr>
                      <w:t>T/ZJ</w:t>
                    </w:r>
                    <w:r>
                      <w:rPr>
                        <w:rFonts w:hint="default" w:ascii="黑体" w:hAnsi="黑体"/>
                      </w:rPr>
                      <w:t>WL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8"/>
      <w:suff w:val="nothing"/>
      <w:lvlText w:val="%1%2　"/>
      <w:lvlJc w:val="left"/>
      <w:pPr>
        <w:ind w:left="0" w:firstLine="0"/>
      </w:pPr>
      <w:rPr>
        <w:rFonts w:hint="eastAsia" w:ascii="黑体" w:eastAsia="黑体"/>
        <w:b w:val="0"/>
        <w:i w:val="0"/>
        <w:sz w:val="21"/>
      </w:rPr>
    </w:lvl>
    <w:lvl w:ilvl="2" w:tentative="0">
      <w:start w:val="1"/>
      <w:numFmt w:val="decimal"/>
      <w:pStyle w:val="2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1"/>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NzA3MTgxNDc5NDM0M2YyYTE0OTc3ODc2MGJkYTQifQ=="/>
  </w:docVars>
  <w:rsids>
    <w:rsidRoot w:val="30466274"/>
    <w:rsid w:val="1FFB6EC0"/>
    <w:rsid w:val="2D8C3AA5"/>
    <w:rsid w:val="30466274"/>
    <w:rsid w:val="36E99E4A"/>
    <w:rsid w:val="37750842"/>
    <w:rsid w:val="3C4E3097"/>
    <w:rsid w:val="4B5F0139"/>
    <w:rsid w:val="5DFFA4AF"/>
    <w:rsid w:val="67BF8D79"/>
    <w:rsid w:val="6AF84F15"/>
    <w:rsid w:val="6EDE6329"/>
    <w:rsid w:val="6FFD36D5"/>
    <w:rsid w:val="7775D8F0"/>
    <w:rsid w:val="7BE7AB96"/>
    <w:rsid w:val="7BEFC268"/>
    <w:rsid w:val="7DBDE66E"/>
    <w:rsid w:val="7EFD3036"/>
    <w:rsid w:val="7FFFD44D"/>
    <w:rsid w:val="9CFF2238"/>
    <w:rsid w:val="AF5FC692"/>
    <w:rsid w:val="B8BE450A"/>
    <w:rsid w:val="BAF6D646"/>
    <w:rsid w:val="E6272E9B"/>
    <w:rsid w:val="E7F9A1F9"/>
    <w:rsid w:val="EBBFB62E"/>
    <w:rsid w:val="FAF782FC"/>
    <w:rsid w:val="FBFF6D64"/>
    <w:rsid w:val="FEBF541A"/>
    <w:rsid w:val="FFDD470D"/>
    <w:rsid w:val="FFE32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keepNext w:val="0"/>
      <w:keepLines w:val="0"/>
      <w:widowControl w:val="0"/>
      <w:suppressLineNumbers w:val="0"/>
      <w:spacing w:before="0" w:beforeLines="0" w:beforeAutospacing="0" w:after="120" w:afterLines="0" w:afterAutospacing="0"/>
      <w:ind w:left="0" w:right="0"/>
      <w:jc w:val="both"/>
    </w:pPr>
    <w:rPr>
      <w:rFonts w:hint="eastAsia" w:ascii="仿宋" w:hAnsi="仿宋" w:eastAsia="仿宋" w:cs="仿宋"/>
      <w:kern w:val="0"/>
      <w:sz w:val="20"/>
      <w:szCs w:val="20"/>
      <w:lang w:val="en-US" w:eastAsia="zh-CN" w:bidi="ar"/>
    </w:rPr>
  </w:style>
  <w:style w:type="paragraph" w:styleId="3">
    <w:name w:val="Body Text First Indent"/>
    <w:basedOn w:val="2"/>
    <w:next w:val="1"/>
    <w:qFormat/>
    <w:uiPriority w:val="0"/>
    <w:pPr>
      <w:ind w:firstLine="420" w:firstLineChars="100"/>
    </w:pPr>
    <w:rPr>
      <w:sz w:val="21"/>
    </w:rPr>
  </w:style>
  <w:style w:type="paragraph" w:styleId="4">
    <w:name w:val="Body Text Indent"/>
    <w:basedOn w:val="1"/>
    <w:unhideWhenUsed/>
    <w:qFormat/>
    <w:uiPriority w:val="99"/>
    <w:pPr>
      <w:spacing w:after="120" w:afterLines="0"/>
      <w:ind w:left="420" w:leftChars="200"/>
    </w:pPr>
  </w:style>
  <w:style w:type="paragraph" w:styleId="5">
    <w:name w:val="footer"/>
    <w:basedOn w:val="1"/>
    <w:qFormat/>
    <w:uiPriority w:val="0"/>
    <w:pPr>
      <w:snapToGrid w:val="0"/>
      <w:ind w:right="210" w:rightChars="100"/>
      <w:jc w:val="right"/>
    </w:pPr>
    <w:rPr>
      <w:rFonts w:ascii="宋体" w:hAnsi="宋体" w:eastAsia="宋体" w:cs="宋体"/>
      <w:sz w:val="18"/>
      <w:szCs w:val="18"/>
      <w:lang w:val="en-US" w:eastAsia="zh-CN" w:bidi="ar-SA"/>
    </w:rPr>
  </w:style>
  <w:style w:type="paragraph" w:styleId="6">
    <w:name w:val="toc 1"/>
    <w:basedOn w:val="1"/>
    <w:next w:val="1"/>
    <w:qFormat/>
    <w:uiPriority w:val="39"/>
    <w:pPr>
      <w:tabs>
        <w:tab w:val="right" w:leader="dot" w:pos="9241"/>
      </w:tabs>
      <w:spacing w:before="25" w:beforeLines="25" w:after="25" w:afterLines="25"/>
    </w:pPr>
    <w:rPr>
      <w:rFonts w:ascii="宋体" w:hAnsi="宋体" w:eastAsia="宋体" w:cs="宋体"/>
      <w:sz w:val="24"/>
      <w:szCs w:val="21"/>
      <w:lang w:val="en-US" w:eastAsia="zh-CN" w:bidi="ar-SA"/>
    </w:rPr>
  </w:style>
  <w:style w:type="paragraph" w:styleId="7">
    <w:name w:val="Body Text First Indent 2"/>
    <w:basedOn w:val="4"/>
    <w:next w:val="2"/>
    <w:unhideWhenUsed/>
    <w:qFormat/>
    <w:uiPriority w:val="99"/>
    <w:pPr>
      <w:ind w:firstLine="420" w:firstLineChars="200"/>
    </w:pPr>
  </w:style>
  <w:style w:type="table" w:styleId="9">
    <w:name w:val="Table Grid"/>
    <w:qFormat/>
    <w:uiPriority w:val="59"/>
    <w:rPr>
      <w:rFonts w:ascii="Calibri" w:hAnsi="Calibri" w:eastAsia="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5">
    <w:name w:val="封面一致性程度标识"/>
    <w:basedOn w:val="16"/>
    <w:qFormat/>
    <w:uiPriority w:val="0"/>
    <w:pPr>
      <w:framePr w:wrap="around"/>
      <w:widowControl w:val="0"/>
      <w:spacing w:before="440" w:line="400" w:lineRule="exact"/>
      <w:jc w:val="center"/>
      <w:textAlignment w:val="center"/>
    </w:pPr>
    <w:rPr>
      <w:rFonts w:ascii="宋体" w:hAnsi="Times New Roman" w:eastAsia="宋体" w:cs="Times New Roman"/>
      <w:sz w:val="28"/>
      <w:szCs w:val="28"/>
      <w:lang w:val="en-US" w:eastAsia="zh-CN" w:bidi="ar-SA"/>
    </w:rPr>
  </w:style>
  <w:style w:type="paragraph" w:customStyle="1" w:styleId="16">
    <w:name w:val="封面标准英文名称"/>
    <w:qFormat/>
    <w:uiPriority w:val="0"/>
    <w:pPr>
      <w:framePr w:w="9639" w:h="6917" w:hRule="exact" w:wrap="around" w:vAnchor="page" w:hAnchor="page" w:xAlign="center" w:y="6408" w:anchorLock="1"/>
      <w:widowControl w:val="0"/>
      <w:spacing w:before="370" w:line="400" w:lineRule="exact"/>
      <w:jc w:val="center"/>
      <w:textAlignment w:val="center"/>
    </w:pPr>
    <w:rPr>
      <w:rFonts w:ascii="Times New Roman" w:hAnsi="Times New Roman" w:eastAsia="黑体" w:cs="Times New Roman"/>
      <w:sz w:val="28"/>
      <w:szCs w:val="28"/>
      <w:lang w:val="en-US" w:eastAsia="zh-CN" w:bidi="ar-SA"/>
    </w:rPr>
  </w:style>
  <w:style w:type="paragraph" w:customStyle="1" w:styleId="17">
    <w:name w:val="其他发布日期"/>
    <w:basedOn w:val="18"/>
    <w:qFormat/>
    <w:uiPriority w:val="0"/>
    <w:pPr>
      <w:framePr w:wrap="auto" w:vAnchor="page" w:hAnchor="text" w:x="1419" w:y="1"/>
    </w:pPr>
    <w:rPr>
      <w:rFonts w:ascii="Times New Roman" w:hAnsi="Times New Roman" w:eastAsia="黑体" w:cs="Times New Roman"/>
      <w:sz w:val="28"/>
      <w:lang w:val="en-US" w:eastAsia="zh-CN" w:bidi="ar-SA"/>
    </w:rPr>
  </w:style>
  <w:style w:type="paragraph" w:customStyle="1" w:styleId="1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9">
    <w:name w:val="其他实施日期"/>
    <w:basedOn w:val="20"/>
    <w:qFormat/>
    <w:uiPriority w:val="0"/>
    <w:pPr>
      <w:jc w:val="right"/>
    </w:pPr>
    <w:rPr>
      <w:rFonts w:ascii="Times New Roman" w:hAnsi="Times New Roman" w:eastAsia="黑体" w:cs="Times New Roman"/>
      <w:sz w:val="28"/>
      <w:lang w:val="en-US" w:eastAsia="zh-CN" w:bidi="ar-SA"/>
    </w:rPr>
  </w:style>
  <w:style w:type="paragraph" w:customStyle="1" w:styleId="20">
    <w:name w:val="实施日期"/>
    <w:qFormat/>
    <w:uiPriority w:val="0"/>
    <w:pPr>
      <w:framePr w:wrap="auto" w:vAnchor="page" w:hAnchor="text" w:y="1"/>
      <w:jc w:val="right"/>
    </w:pPr>
    <w:rPr>
      <w:rFonts w:ascii="Times New Roman" w:hAnsi="Times New Roman" w:eastAsia="黑体" w:cs="Times New Roman"/>
      <w:sz w:val="28"/>
      <w:lang w:val="en-US" w:eastAsia="zh-CN" w:bidi="ar-SA"/>
    </w:rPr>
  </w:style>
  <w:style w:type="paragraph" w:customStyle="1" w:styleId="21">
    <w:name w:val="其他发布部门"/>
    <w:basedOn w:val="22"/>
    <w:qFormat/>
    <w:uiPriority w:val="0"/>
    <w:pPr>
      <w:framePr w:wrap="auto" w:vAnchor="margin" w:hAnchor="text" w:y="15310"/>
      <w:spacing w:line="0" w:lineRule="atLeast"/>
      <w:jc w:val="center"/>
    </w:pPr>
    <w:rPr>
      <w:rFonts w:ascii="黑体" w:hAnsi="Times New Roman" w:eastAsia="黑体" w:cs="Times New Roman"/>
      <w:spacing w:val="20"/>
      <w:w w:val="135"/>
      <w:sz w:val="28"/>
      <w:lang w:val="en-US" w:eastAsia="zh-CN" w:bidi="ar-SA"/>
    </w:rPr>
  </w:style>
  <w:style w:type="paragraph" w:customStyle="1" w:styleId="22">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
    <w:name w:val="发布"/>
    <w:qFormat/>
    <w:uiPriority w:val="0"/>
    <w:rPr>
      <w:rFonts w:ascii="黑体" w:eastAsia="黑体"/>
      <w:spacing w:val="85"/>
      <w:w w:val="100"/>
      <w:position w:val="3"/>
      <w:sz w:val="28"/>
      <w:szCs w:val="28"/>
    </w:rPr>
  </w:style>
  <w:style w:type="paragraph" w:customStyle="1" w:styleId="25">
    <w:name w:val="标准文件_目录标题"/>
    <w:qFormat/>
    <w:uiPriority w:val="0"/>
    <w:pPr>
      <w:spacing w:before="480" w:after="150" w:afterLines="150" w:line="240" w:lineRule="auto"/>
      <w:jc w:val="center"/>
    </w:pPr>
    <w:rPr>
      <w:rFonts w:ascii="黑体" w:hAnsi="宋体" w:eastAsia="黑体" w:cs="宋体"/>
      <w:sz w:val="32"/>
      <w:szCs w:val="24"/>
      <w:lang w:val="en-US" w:eastAsia="zh-CN" w:bidi="ar-SA"/>
    </w:rPr>
  </w:style>
  <w:style w:type="paragraph" w:customStyle="1" w:styleId="26">
    <w:name w:val="目次、标准名称标题"/>
    <w:next w:val="23"/>
    <w:qFormat/>
    <w:uiPriority w:val="0"/>
    <w:pPr>
      <w:keepNext/>
      <w:pageBreakBefore/>
      <w:shd w:val="clear" w:color="FFFFFF" w:fill="FFFFFF"/>
      <w:spacing w:before="640" w:after="560" w:line="460" w:lineRule="exact"/>
      <w:jc w:val="center"/>
      <w:outlineLvl w:val="0"/>
    </w:pPr>
    <w:rPr>
      <w:rFonts w:ascii="黑体" w:hAnsi="宋体" w:eastAsia="黑体" w:cs="宋体"/>
      <w:sz w:val="32"/>
      <w:szCs w:val="20"/>
      <w:lang w:val="en-US" w:eastAsia="zh-CN" w:bidi="ar-SA"/>
    </w:rPr>
  </w:style>
  <w:style w:type="paragraph" w:customStyle="1" w:styleId="2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8">
    <w:name w:val="标准文件_章标题"/>
    <w:next w:val="27"/>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9">
    <w:name w:val="标准文件_一级条标题"/>
    <w:next w:val="27"/>
    <w:qFormat/>
    <w:uiPriority w:val="0"/>
    <w:pPr>
      <w:numPr>
        <w:ilvl w:val="2"/>
        <w:numId w:val="1"/>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30">
    <w:name w:val="标准文件_二级无标题"/>
    <w:basedOn w:val="31"/>
    <w:qFormat/>
    <w:uiPriority w:val="0"/>
    <w:pPr>
      <w:widowControl w:val="0"/>
      <w:numPr>
        <w:ilvl w:val="3"/>
        <w:numId w:val="1"/>
      </w:numPr>
      <w:spacing w:before="0" w:beforeLines="0" w:after="0" w:afterLines="0"/>
      <w:jc w:val="both"/>
      <w:outlineLvl w:val="9"/>
    </w:pPr>
    <w:rPr>
      <w:rFonts w:ascii="宋体" w:hAnsi="Times New Roman" w:eastAsia="宋体" w:cs="Times New Roman"/>
      <w:sz w:val="21"/>
      <w:lang w:val="en-US" w:eastAsia="zh-CN" w:bidi="ar-SA"/>
    </w:rPr>
  </w:style>
  <w:style w:type="paragraph" w:customStyle="1" w:styleId="31">
    <w:name w:val="标准文件_二级条标题"/>
    <w:next w:val="27"/>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2024-09-08T03:49:00Z</dcterms:created>
  <dc:creator>WUYi_</dc:creator>
  <cp:lastModifiedBy>程红</cp:lastModifiedBy>
  <dcterms:modified xsi:type="dcterms:W3CDTF">2024-10-22T09:34:55Z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DEECBFA7BB334B3B210117679E524757_43</vt:lpwstr>
  </property>
</Properties>
</file>